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1D" w:rsidRPr="00751C3A" w:rsidRDefault="00B935D6" w:rsidP="00DE021D">
      <w:pPr>
        <w:spacing w:after="0"/>
        <w:jc w:val="center"/>
      </w:pPr>
      <w:r w:rsidRPr="00751C3A">
        <w:t xml:space="preserve">OBRAZLOŽENJE PRORAČUNA GRADA PAGA ZA 2023. </w:t>
      </w:r>
    </w:p>
    <w:p w:rsidR="006076ED" w:rsidRPr="00751C3A" w:rsidRDefault="00B935D6" w:rsidP="00DE021D">
      <w:pPr>
        <w:spacing w:after="0"/>
        <w:jc w:val="center"/>
      </w:pPr>
      <w:r w:rsidRPr="00751C3A">
        <w:t>I PROJEKCIJA ZA 2024. I 2025. GODINU</w:t>
      </w:r>
    </w:p>
    <w:p w:rsidR="00B935D6" w:rsidRPr="00751C3A" w:rsidRDefault="00B935D6"/>
    <w:p w:rsidR="00B935D6" w:rsidRPr="00751C3A" w:rsidRDefault="00B935D6">
      <w:r w:rsidRPr="00751C3A">
        <w:t>UVOD</w:t>
      </w:r>
    </w:p>
    <w:p w:rsidR="00B935D6" w:rsidRPr="00751C3A" w:rsidRDefault="00B935D6" w:rsidP="00DE021D">
      <w:pPr>
        <w:jc w:val="both"/>
      </w:pPr>
      <w:r w:rsidRPr="00751C3A">
        <w:t>Proračun je akt jedinice lokalne i područne (regionalne) samouprave kojim se procjenjuju prihodi i primici te utvrđuju rashodi i izdaci jedinice lokalne i područne (regionalne) samouprave.</w:t>
      </w:r>
    </w:p>
    <w:p w:rsidR="00B935D6" w:rsidRPr="00751C3A" w:rsidRDefault="00B935D6" w:rsidP="00B935D6">
      <w:pPr>
        <w:pStyle w:val="Tijeloteksta"/>
        <w:spacing w:after="0"/>
        <w:jc w:val="both"/>
      </w:pPr>
      <w:r w:rsidRPr="00751C3A">
        <w:t>Metodologija za izradu proračuna jedinice lokalne i područne (regionalne) samouprave propisana je Zakonom o proračunu (NN 144/21) i podzakonskim aktima kojima se regulira provedba Zakona, ponajprije Pravilnikom o proračunskim klasifikacijama (NN 26/10, 120/13 i 1/20), Pravilnikom o proračunskom računovodstvu i računskom planu (NN 124/14, 115/15, 87/16, 3/18, 126/19 i 108/20) te Uputama Ministarstva financija za izradu proračuna jedinica lokalne i područne (regionalne) samouprave za razdoblje 2023.-2025. godine.</w:t>
      </w:r>
    </w:p>
    <w:p w:rsidR="00C52672" w:rsidRPr="00751C3A" w:rsidRDefault="00C52672" w:rsidP="00C52672">
      <w:pPr>
        <w:jc w:val="both"/>
      </w:pPr>
      <w:r w:rsidRPr="00751C3A">
        <w:t>U odnosu na prethodni Zakon o proračunu propisane su značajne novosti u odnosnu na dosadašnju praksu planiranja, izvršavanja te predlaganja i donošenja proračuna i financijskih planova proračunskih korisnika. Prije svega to se odnosi na donošenje proračuna na višoj razini ekonomske klasifikacije, odnosno na razini skupine, u odnosu na dosadašnju obvezu planiranja proračuna na razini podskupine. Nadalje, dodatna je obveza i iskazivanje plana prihoda i rashoda prema izvorima financiranja, a rashoda i prema funkcijskoj klasifikaciji. Sve je to uvjetovalo sastavljanje proračunskih dokumenata u određenoj izmijenjenoj formi u odnosu na dosadašnje dokumente prezentirane predstavničkom tijelu.</w:t>
      </w:r>
    </w:p>
    <w:p w:rsidR="00C52672" w:rsidRPr="00751C3A" w:rsidRDefault="00C52672" w:rsidP="00DE021D">
      <w:pPr>
        <w:jc w:val="both"/>
      </w:pPr>
      <w:r w:rsidRPr="00751C3A">
        <w:t>Novost je i obveza iskazivanja planiranih veličina u eurima koji su temeljem Zakona o uvođenju eura kao službene valute u Republici Hrvatskoj („Narodne novine“, br. 57/22. i 88/22.) kojim je propisano da se proračuni, financijski planovi i drugi prateći dokumenti koji se odnose na razdoblja nakon dana uvođenja eura, sastavljaju, donose i objavljuju na način da se vrijednosti u njima iskazuju u eurima.</w:t>
      </w:r>
    </w:p>
    <w:p w:rsidR="00C52672" w:rsidRPr="00751C3A" w:rsidRDefault="00C52672" w:rsidP="00DE021D">
      <w:pPr>
        <w:jc w:val="both"/>
      </w:pPr>
      <w:r w:rsidRPr="00751C3A">
        <w:t xml:space="preserve">Bitne odrednice na kojima se temelji proračunsko planiranje za ovo plansko razdoblje definirane su Programom konvergencije Republike Hrvatske za razdoblje 2023. – 2025. koji je donijela Vlada Republike Hrvatske i kojim su utvrđeni ciljevi i okvir ekonomske politike Republike Hrvatske. S obzirom na najavljene brojne strukturne reforme koje temeljem navedenog akta Republika Hrvatska planira provesti u sljedećem razdoblju i na moguće makroekonomske i fiskalne učinke tih reformi, posebno u odnosu na gospodarske aktivnosti te na fiskalna i inflatorna kretanja, teško je na lokalnoj razini postaviti za ovo plansko razdoblje takvu procjenu kretanja prihoda i rashoda koja se može ocijeniti potpuno realnom i održivom. Prema tome, kako u ovom momentu nije moguće objektivno predvidjeti utjecaj ukupnih kretanja državne razine na lokalnu razinu, proračunski okvir </w:t>
      </w:r>
      <w:r w:rsidR="00122E17" w:rsidRPr="00751C3A">
        <w:t>Grada Paga</w:t>
      </w:r>
      <w:r w:rsidRPr="00751C3A">
        <w:t xml:space="preserve"> za ovo plansko razdoblje postavljen je na temelju dosadašnjih kretanja i uv</w:t>
      </w:r>
      <w:r w:rsidR="00122E17" w:rsidRPr="00751C3A">
        <w:t>jeta proračunskog financiranja.</w:t>
      </w:r>
    </w:p>
    <w:p w:rsidR="00122E17" w:rsidRPr="00751C3A" w:rsidRDefault="00122E17" w:rsidP="00DE021D">
      <w:pPr>
        <w:jc w:val="both"/>
      </w:pPr>
      <w:r w:rsidRPr="00751C3A">
        <w:t>Ovaj Proračun se sastoji od plana za proračunsku 2023. godinu i projekcija za sljedeće dvije godine te sadrži i financijske planove proračunskih korisnika Grada Paga. Proračun je iskazan kroz opći dio, posebni dio i obrazloženje proračuna.</w:t>
      </w:r>
    </w:p>
    <w:p w:rsidR="00122E17" w:rsidRPr="00751C3A" w:rsidRDefault="00122E17" w:rsidP="00C52672">
      <w:pPr>
        <w:ind w:firstLine="720"/>
        <w:jc w:val="both"/>
      </w:pPr>
    </w:p>
    <w:p w:rsidR="00C52672" w:rsidRPr="00751C3A" w:rsidRDefault="00C52672" w:rsidP="00C52672">
      <w:pPr>
        <w:jc w:val="both"/>
      </w:pPr>
    </w:p>
    <w:p w:rsidR="000369CB" w:rsidRPr="00751C3A" w:rsidRDefault="000369CB" w:rsidP="000369CB">
      <w:pPr>
        <w:jc w:val="both"/>
      </w:pPr>
      <w:r w:rsidRPr="00751C3A">
        <w:t xml:space="preserve">Opći dio proračuna sadrži Račun prihoda i rashoda i Račun financiranja te njihov sažetak. Račun prihoda i rashoda sastoji se od plana prihoda iskazanih prema ekonomskoj klasifikaciji i izvorima financiranja te plana rashoda iskazanih prema ekonomskoj i funkcijskoj klasifikaciji i izvorima financiranja. </w:t>
      </w:r>
    </w:p>
    <w:p w:rsidR="000369CB" w:rsidRPr="00751C3A" w:rsidRDefault="000369CB" w:rsidP="000369CB">
      <w:pPr>
        <w:jc w:val="both"/>
      </w:pPr>
      <w:r w:rsidRPr="00751C3A">
        <w:t>U Računu financiranja iskazuju se planirani primici od financijske imovine i zaduživanja te izdaci za financijsku imovinu i otplate instrumenata zaduživanja prema ekonomskoj klasifi</w:t>
      </w:r>
      <w:r w:rsidR="00DE021D" w:rsidRPr="00751C3A">
        <w:t>kaciji i izvorima financiranja.</w:t>
      </w:r>
    </w:p>
    <w:p w:rsidR="000369CB" w:rsidRPr="00751C3A" w:rsidRDefault="000369CB" w:rsidP="000369CB">
      <w:pPr>
        <w:jc w:val="both"/>
      </w:pPr>
      <w:r w:rsidRPr="00751C3A">
        <w:t xml:space="preserve">Posebni dio Proračuna sastoji se od plana rashoda i izdataka iskazanih po organizacijskoj i ekonomskoj klasifikaciji te izvorima financiranja, raspoređenih po razdjelima i glavama Proračuna, a unutar njih po programima i dalje po aktivnostima i projektima koji, pripadaju pojedinom programu sukladno sadržaju propisane funkcijske klasifikacije. </w:t>
      </w:r>
    </w:p>
    <w:p w:rsidR="000369CB" w:rsidRPr="00751C3A" w:rsidRDefault="000369CB" w:rsidP="000369CB">
      <w:pPr>
        <w:jc w:val="both"/>
      </w:pPr>
      <w:r w:rsidRPr="00751C3A">
        <w:t>Prema odredbama novog Zakona, obrazloženje programa, odnosno aktivnosti i projekata u  posebnom dijelu proračuna povezuje s ciljevima i pokazateljima uspješnosti iz akata strateškog planiranja, odnosno iz Provedbenog programa Grada Paga za razdoblje od 2021. do 2025. godine.</w:t>
      </w:r>
    </w:p>
    <w:p w:rsidR="000369CB" w:rsidRPr="00751C3A" w:rsidRDefault="000369CB" w:rsidP="000369CB">
      <w:pPr>
        <w:jc w:val="both"/>
        <w:rPr>
          <w:color w:val="000000" w:themeColor="text1"/>
        </w:rPr>
      </w:pPr>
      <w:r w:rsidRPr="00751C3A">
        <w:t>Kako je već naznače</w:t>
      </w:r>
      <w:r w:rsidR="00AA5C24" w:rsidRPr="00751C3A">
        <w:t>n</w:t>
      </w:r>
      <w:r w:rsidRPr="00751C3A">
        <w:t xml:space="preserve">o, </w:t>
      </w:r>
      <w:bookmarkStart w:id="0" w:name="_Hlk499297757"/>
      <w:r w:rsidRPr="00751C3A">
        <w:rPr>
          <w:color w:val="000000" w:themeColor="text1"/>
        </w:rPr>
        <w:t>u proračunu Grada Paga u cijelosti su uključeni financijski planovi proračunskih korisnika Grada Paga (Dječji vrtić Paški mališani Pag, Gradska knjižnica Pag i Javna vatrogasna postrojba Pag), odnosno, u Proračunu su prikazani vlastiti prihodi proračunskih korisnika te rashodi proračunskih korisnika koji se financiraju iz tih prihoda.</w:t>
      </w:r>
      <w:bookmarkEnd w:id="0"/>
    </w:p>
    <w:p w:rsidR="00DE021D" w:rsidRPr="00751C3A" w:rsidRDefault="00DE021D" w:rsidP="000369CB">
      <w:pPr>
        <w:jc w:val="both"/>
        <w:rPr>
          <w:color w:val="000000" w:themeColor="text1"/>
        </w:rPr>
      </w:pPr>
    </w:p>
    <w:p w:rsidR="000369CB" w:rsidRPr="00751C3A" w:rsidRDefault="00AA5C24" w:rsidP="000369CB">
      <w:pPr>
        <w:jc w:val="both"/>
        <w:rPr>
          <w:color w:val="000000" w:themeColor="text1"/>
        </w:rPr>
      </w:pPr>
      <w:r w:rsidRPr="00751C3A">
        <w:rPr>
          <w:color w:val="000000" w:themeColor="text1"/>
        </w:rPr>
        <w:t>OBRAZLOŽENJE OPĆEG DIJELA PRORAČUNA</w:t>
      </w:r>
    </w:p>
    <w:p w:rsidR="00AA5C24" w:rsidRPr="00751C3A" w:rsidRDefault="00AA5C24" w:rsidP="000369CB">
      <w:pPr>
        <w:jc w:val="both"/>
        <w:rPr>
          <w:i/>
          <w:color w:val="000000" w:themeColor="text1"/>
          <w:u w:val="single"/>
        </w:rPr>
      </w:pPr>
      <w:r w:rsidRPr="00751C3A">
        <w:rPr>
          <w:i/>
          <w:color w:val="000000" w:themeColor="text1"/>
          <w:u w:val="single"/>
        </w:rPr>
        <w:t>Prihodi i primici</w:t>
      </w:r>
    </w:p>
    <w:p w:rsidR="00AA5C24" w:rsidRPr="00751C3A" w:rsidRDefault="00AA5C24" w:rsidP="00AA5C24">
      <w:pPr>
        <w:jc w:val="both"/>
      </w:pPr>
      <w:r w:rsidRPr="00751C3A">
        <w:t xml:space="preserve">Ukupni prihodi i primici Proračuna za 2023. godinu planirani su u iznosu od </w:t>
      </w:r>
      <w:r w:rsidR="00D02DEA" w:rsidRPr="00751C3A">
        <w:t>9.021.300,00</w:t>
      </w:r>
      <w:r w:rsidRPr="00751C3A">
        <w:t xml:space="preserve"> EUR, a </w:t>
      </w:r>
      <w:r w:rsidR="00D02DEA" w:rsidRPr="00751C3A">
        <w:t>u sklopu kojih</w:t>
      </w:r>
      <w:r w:rsidRPr="00751C3A">
        <w:t xml:space="preserve"> prihodi poslovanja iznose </w:t>
      </w:r>
      <w:r w:rsidR="00D02DEA" w:rsidRPr="00751C3A">
        <w:t>7.989.300,00 EUR te</w:t>
      </w:r>
      <w:r w:rsidRPr="00751C3A">
        <w:t xml:space="preserve"> prihodi od prodaje nefinancijske imovine 1.</w:t>
      </w:r>
      <w:r w:rsidR="00D02DEA" w:rsidRPr="00751C3A">
        <w:t>032.000,00</w:t>
      </w:r>
      <w:r w:rsidR="00D02DEA" w:rsidRPr="00751C3A">
        <w:rPr>
          <w:bCs/>
        </w:rPr>
        <w:t xml:space="preserve"> EUR. </w:t>
      </w:r>
      <w:r w:rsidRPr="00751C3A">
        <w:t xml:space="preserve">U projekcijama za 2024. godinu ukupni prihodi i primici planirani su u iznosu od </w:t>
      </w:r>
      <w:r w:rsidR="00D02DEA" w:rsidRPr="00751C3A">
        <w:t>8.655.800,00</w:t>
      </w:r>
      <w:r w:rsidRPr="00751C3A">
        <w:t xml:space="preserve"> EUR, dok su u projekcijama za 2025. godinu planirani u visini od </w:t>
      </w:r>
      <w:r w:rsidR="00D02DEA" w:rsidRPr="00751C3A">
        <w:t>8.206.300,00</w:t>
      </w:r>
      <w:r w:rsidRPr="00751C3A">
        <w:t xml:space="preserve"> EUR. </w:t>
      </w:r>
    </w:p>
    <w:p w:rsidR="00F441DD" w:rsidRPr="00751C3A" w:rsidRDefault="00F441DD" w:rsidP="00AA5C24">
      <w:pPr>
        <w:jc w:val="both"/>
        <w:rPr>
          <w:i/>
        </w:rPr>
      </w:pPr>
      <w:r w:rsidRPr="00751C3A">
        <w:rPr>
          <w:i/>
        </w:rPr>
        <w:t>Prihodi poslovanja</w:t>
      </w:r>
    </w:p>
    <w:p w:rsidR="00F441DD" w:rsidRPr="00751C3A" w:rsidRDefault="00F441DD" w:rsidP="00AA5C24">
      <w:pPr>
        <w:jc w:val="both"/>
      </w:pPr>
      <w:r w:rsidRPr="00751C3A">
        <w:t xml:space="preserve">Ovu skupinu prihoda čine Prihodi od poreza (61), Pomoći iz inozemstva i od subjekata unutar općeg proračuna (63), Prihodi od imovine (64), Prihodi od upravnih i administrativnih pristojbi, pristojbi po posebnim propisima i naknada (65), Prihodi od prodaje proizvoda i robe te pruženih usluga i prihodi od donacija (66) te Kazne, upravne mjere i ostali prihodi (68) </w:t>
      </w:r>
    </w:p>
    <w:p w:rsidR="00D02DEA" w:rsidRPr="00751C3A" w:rsidRDefault="00F441DD" w:rsidP="00AA5C24">
      <w:pPr>
        <w:jc w:val="both"/>
        <w:rPr>
          <w:i/>
        </w:rPr>
      </w:pPr>
      <w:r w:rsidRPr="00751C3A">
        <w:rPr>
          <w:i/>
        </w:rPr>
        <w:t>Prihodi od poreza (61)</w:t>
      </w:r>
    </w:p>
    <w:p w:rsidR="00F441DD" w:rsidRPr="00751C3A" w:rsidRDefault="00F441DD" w:rsidP="00AA5C24">
      <w:pPr>
        <w:jc w:val="both"/>
      </w:pPr>
      <w:r w:rsidRPr="00751C3A">
        <w:t xml:space="preserve">Unutar ove skupine prihoda, planirani su prihodi od poreza na dohodak, poreza na imovinu koji se odnose na porez na kuće za odmor , na promet nekretnina i porez na javne površine. </w:t>
      </w:r>
      <w:r w:rsidR="00E37032" w:rsidRPr="00751C3A">
        <w:t xml:space="preserve">Prihodi od </w:t>
      </w:r>
      <w:r w:rsidR="00E37032" w:rsidRPr="00751C3A">
        <w:lastRenderedPageBreak/>
        <w:t>poreza planirani su u 2023. godini u ukupnom iznosu od 3.379.300,00 EUR, za 2024. godinu planiran je iznos od 3.013.800,00 EUR, dok je za 2025. godinu planirani iznos 2.564.300,00 EUR.</w:t>
      </w:r>
    </w:p>
    <w:p w:rsidR="00E37032" w:rsidRPr="00751C3A" w:rsidRDefault="00E37032" w:rsidP="00AA5C24">
      <w:pPr>
        <w:jc w:val="both"/>
      </w:pPr>
      <w:r w:rsidRPr="00751C3A">
        <w:t>Pomoći iz inozemstva i od subjekata unutar općeg proračuna (63)</w:t>
      </w:r>
    </w:p>
    <w:p w:rsidR="00E37032" w:rsidRPr="00751C3A" w:rsidRDefault="00E37032" w:rsidP="00AA5C24">
      <w:pPr>
        <w:jc w:val="both"/>
      </w:pPr>
      <w:r w:rsidRPr="00751C3A">
        <w:t xml:space="preserve">U ovu skupinu prihoda planirani su prihodi od pomoći – kompenzacijske mjere, tekuće pomoći iz državnog i </w:t>
      </w:r>
      <w:r w:rsidR="000C648C" w:rsidRPr="00751C3A">
        <w:t>županijskog proračuna te financiranje decentraliziranih funkcija vatrogastva, kapitalne pomoći iz državnog proračuna i izvanproračunskih fondova, koji se odnose na izvršenje programa proračuna Grada Paga i financijskih planova proračunskih korisnika. Ova vrsta prihoda planirana je u 2023. godini u ukupnom iznosu 986.400,00 EUR, a isti iznos planiran je i u 2024. te 2025. godini.</w:t>
      </w:r>
    </w:p>
    <w:p w:rsidR="000C648C" w:rsidRPr="00751C3A" w:rsidRDefault="000C648C" w:rsidP="00AA5C24">
      <w:pPr>
        <w:jc w:val="both"/>
        <w:rPr>
          <w:i/>
        </w:rPr>
      </w:pPr>
      <w:r w:rsidRPr="00751C3A">
        <w:rPr>
          <w:i/>
        </w:rPr>
        <w:t>Prihodi od imovine (64)</w:t>
      </w:r>
    </w:p>
    <w:p w:rsidR="000C648C" w:rsidRPr="00751C3A" w:rsidRDefault="00161890" w:rsidP="00AA5C24">
      <w:pPr>
        <w:jc w:val="both"/>
      </w:pPr>
      <w:r w:rsidRPr="00751C3A">
        <w:t>U ovu skupinu prihoda planirani su prihodi od  financijske imovine na ime prihoda od zateznih kamate i kamata na depozite po viđenju kako Grada Paga tako i proračunskih korisnika, te prihodi od nefinancijske imovine koja se odnosi na prihode od zakupa te korištenja javnih površina</w:t>
      </w:r>
      <w:r w:rsidR="009E3B06" w:rsidRPr="00751C3A">
        <w:t>, koncesija, korištenja poljoprivrednog zemljišta te ostale naknade</w:t>
      </w:r>
      <w:r w:rsidRPr="00751C3A">
        <w:t>. Ovi prihodi planirani su u 2023. i projekcijama u iznosu od 563.600,00 EUR godišnje.</w:t>
      </w:r>
    </w:p>
    <w:p w:rsidR="00161890" w:rsidRPr="00751C3A" w:rsidRDefault="00161890" w:rsidP="00AA5C24">
      <w:pPr>
        <w:jc w:val="both"/>
        <w:rPr>
          <w:i/>
        </w:rPr>
      </w:pPr>
      <w:r w:rsidRPr="00751C3A">
        <w:rPr>
          <w:i/>
        </w:rPr>
        <w:t>Prihodi od upravnih i administrativnih pristojbi, pristojbi po posebnim propisima i naknada (65)</w:t>
      </w:r>
    </w:p>
    <w:p w:rsidR="00161890" w:rsidRPr="00751C3A" w:rsidRDefault="00161890" w:rsidP="00AA5C24">
      <w:pPr>
        <w:jc w:val="both"/>
      </w:pPr>
      <w:r w:rsidRPr="00751C3A">
        <w:t>U ovu skupinu prihoda planirani su prihodi od  prihodi od pristojbi, prihodi po posebnim propisima (naknade za elektroničku infrastrukturu, naknada za parkirališni prostor, pravo na uporabu elemenata čipke, naknade šteta,</w:t>
      </w:r>
      <w:r w:rsidR="009E3B06" w:rsidRPr="00751C3A">
        <w:t xml:space="preserve"> naknade za katastarsku izmjeru te ostale naknade) kao i </w:t>
      </w:r>
      <w:r w:rsidRPr="00751C3A">
        <w:t xml:space="preserve"> </w:t>
      </w:r>
      <w:r w:rsidR="009E3B06" w:rsidRPr="00751C3A">
        <w:t>prihod od komunalne naknade, komunalnog doprinosa, turističke pristojbe te prihodi od pristojbi proračunskih korisnika, Ovi prihodi planirani su 2023. te projekcijama za naredne dvije godine u iznosu od 2.973.100,00 EUR godišnje.</w:t>
      </w:r>
    </w:p>
    <w:p w:rsidR="009E3B06" w:rsidRPr="00751C3A" w:rsidRDefault="009E3B06" w:rsidP="00AA5C24">
      <w:pPr>
        <w:jc w:val="both"/>
        <w:rPr>
          <w:i/>
        </w:rPr>
      </w:pPr>
      <w:r w:rsidRPr="00751C3A">
        <w:rPr>
          <w:i/>
        </w:rPr>
        <w:t>Prihodi od prodaje proizvoda i robe te pruženih usluga i prihodi od donacija (66)</w:t>
      </w:r>
    </w:p>
    <w:p w:rsidR="001245E4" w:rsidRPr="00751C3A" w:rsidRDefault="009E3B06" w:rsidP="001245E4">
      <w:pPr>
        <w:jc w:val="both"/>
      </w:pPr>
      <w:r w:rsidRPr="00751C3A">
        <w:t xml:space="preserve">U ovu skupinu prihoda planirani su prihodi od  pružanja usluga kako Grada tako i proračunskih korisnika te </w:t>
      </w:r>
      <w:r w:rsidR="001245E4" w:rsidRPr="00751C3A">
        <w:t>primljene donacije pravnih i fizičkih osoba za realizaciju programa Grada i proračunskih korisnika. Ovi prihodi planirani su 2023. te projekcijama za naredne dvije godine u iznosu od 41.800,00 EUR godišnje.</w:t>
      </w:r>
    </w:p>
    <w:p w:rsidR="001245E4" w:rsidRPr="00751C3A" w:rsidRDefault="001245E4" w:rsidP="001245E4">
      <w:pPr>
        <w:jc w:val="both"/>
        <w:rPr>
          <w:i/>
        </w:rPr>
      </w:pPr>
      <w:r w:rsidRPr="00751C3A">
        <w:rPr>
          <w:i/>
        </w:rPr>
        <w:t>Kazne, upravne mjere i ostali prihodi  (68)</w:t>
      </w:r>
    </w:p>
    <w:p w:rsidR="001245E4" w:rsidRPr="00751C3A" w:rsidRDefault="001245E4" w:rsidP="001245E4">
      <w:pPr>
        <w:jc w:val="both"/>
      </w:pPr>
      <w:r w:rsidRPr="00751C3A">
        <w:t xml:space="preserve">U ove prihode planirani su prihodi od kazni za prometne prekršaje, odnosno za nepropisno parkiranje na području Grada Paga te mandatne kazne izdane od strane komunalnog redarstva. Ovi prihodi planirani su 2023. te projekcijama za naredne dvije godine u iznosu od 45.100,00 EUR godišnje. </w:t>
      </w:r>
    </w:p>
    <w:p w:rsidR="001245E4" w:rsidRPr="00751C3A" w:rsidRDefault="001245E4" w:rsidP="001245E4">
      <w:pPr>
        <w:jc w:val="both"/>
      </w:pPr>
    </w:p>
    <w:p w:rsidR="001245E4" w:rsidRPr="00751C3A" w:rsidRDefault="001245E4" w:rsidP="001245E4">
      <w:pPr>
        <w:jc w:val="both"/>
        <w:rPr>
          <w:i/>
        </w:rPr>
      </w:pPr>
      <w:r w:rsidRPr="00751C3A">
        <w:rPr>
          <w:i/>
        </w:rPr>
        <w:t>Prihodi od prodaje nefinancijske imovine</w:t>
      </w:r>
    </w:p>
    <w:p w:rsidR="001245E4" w:rsidRPr="00751C3A" w:rsidRDefault="001245E4" w:rsidP="001245E4">
      <w:pPr>
        <w:jc w:val="both"/>
      </w:pPr>
      <w:r w:rsidRPr="00751C3A">
        <w:t>Ovu skupinu čine Prihodi od prodaje neproizvedene dugotrajne imovine i Prihodi od prodaje proizvedene dugotrajne imovine.</w:t>
      </w:r>
    </w:p>
    <w:p w:rsidR="001245E4" w:rsidRPr="00751C3A" w:rsidRDefault="001245E4" w:rsidP="001245E4">
      <w:pPr>
        <w:jc w:val="both"/>
        <w:rPr>
          <w:i/>
        </w:rPr>
      </w:pPr>
      <w:r w:rsidRPr="00751C3A">
        <w:rPr>
          <w:i/>
        </w:rPr>
        <w:lastRenderedPageBreak/>
        <w:t>Prihodi od prodaje neproizvedene dugotrajne imovine (71)</w:t>
      </w:r>
    </w:p>
    <w:p w:rsidR="007965D6" w:rsidRPr="00751C3A" w:rsidRDefault="007965D6" w:rsidP="001245E4">
      <w:pPr>
        <w:jc w:val="both"/>
      </w:pPr>
      <w:r w:rsidRPr="00751C3A">
        <w:t>Ovi prihodi planirani su u 2023. te u projekcijama za naredne dvije godine u iznosu od 1.031.300,00 EUR a odnose se na</w:t>
      </w:r>
      <w:r w:rsidR="00B844A4" w:rsidRPr="00751C3A">
        <w:t xml:space="preserve"> </w:t>
      </w:r>
      <w:r w:rsidRPr="00751C3A">
        <w:t>prodaju nekretnina (zemljišta i prostora) u vlasništvu Grada Paga.</w:t>
      </w:r>
    </w:p>
    <w:p w:rsidR="00B844A4" w:rsidRPr="00751C3A" w:rsidRDefault="00B844A4" w:rsidP="001245E4">
      <w:pPr>
        <w:jc w:val="both"/>
        <w:rPr>
          <w:i/>
        </w:rPr>
      </w:pPr>
      <w:r w:rsidRPr="00751C3A">
        <w:rPr>
          <w:i/>
        </w:rPr>
        <w:t>Prihodi od prodaje proizvedene dugotrajne imovine (72)</w:t>
      </w:r>
    </w:p>
    <w:p w:rsidR="00B844A4" w:rsidRPr="00751C3A" w:rsidRDefault="00B844A4" w:rsidP="00B844A4">
      <w:pPr>
        <w:jc w:val="both"/>
      </w:pPr>
      <w:r w:rsidRPr="00751C3A">
        <w:t>Ovi prihodi planirani su u 2023. te u projekcijama za naredne dvije godine u iznosu od 700,00 EUR a odnose se na ostvarenje od prodaje stanova u društvenom vlasništvu.</w:t>
      </w:r>
    </w:p>
    <w:p w:rsidR="00B844A4" w:rsidRPr="00751C3A" w:rsidRDefault="00B844A4" w:rsidP="00B844A4">
      <w:pPr>
        <w:jc w:val="both"/>
      </w:pPr>
    </w:p>
    <w:p w:rsidR="00B844A4" w:rsidRPr="00751C3A" w:rsidRDefault="00B844A4" w:rsidP="00B844A4">
      <w:pPr>
        <w:jc w:val="both"/>
        <w:rPr>
          <w:i/>
          <w:u w:val="single"/>
        </w:rPr>
      </w:pPr>
      <w:r w:rsidRPr="00751C3A">
        <w:rPr>
          <w:i/>
          <w:u w:val="single"/>
        </w:rPr>
        <w:t>Rashodi i izdaci</w:t>
      </w:r>
    </w:p>
    <w:p w:rsidR="00B844A4" w:rsidRPr="00751C3A" w:rsidRDefault="002A3B57" w:rsidP="00B844A4">
      <w:pPr>
        <w:jc w:val="both"/>
      </w:pPr>
      <w:r w:rsidRPr="00751C3A">
        <w:t>Ukupni rashodi i izdaci proračuna planirani su u za 2023. u iznosu od 7.971.300,00,00 EUR dok su za 2024. i 2025 planiran i u iznosu od 7.836.300,00 EUR.</w:t>
      </w:r>
    </w:p>
    <w:p w:rsidR="002A3B57" w:rsidRPr="00751C3A" w:rsidRDefault="002A3B57" w:rsidP="00B844A4">
      <w:pPr>
        <w:jc w:val="both"/>
      </w:pPr>
      <w:r w:rsidRPr="00751C3A">
        <w:t xml:space="preserve">Od navedenog iznosa rashoda i izdataka iznos od </w:t>
      </w:r>
      <w:r w:rsidR="00650F80" w:rsidRPr="00751C3A">
        <w:t>436.500,00 EUR odnosi se na Javnu vatrogasnu postrojbu, 69.100,00 EUR odnosi se na Gradsku knjižnicu Pag te 865.900,00 EUR na Dječji vrtić Paški mališani</w:t>
      </w:r>
      <w:r w:rsidR="006747FD" w:rsidRPr="00751C3A">
        <w:t xml:space="preserve"> kroz plan za 2023. i projekcije</w:t>
      </w:r>
      <w:r w:rsidR="00650F80" w:rsidRPr="00751C3A">
        <w:t>.</w:t>
      </w:r>
    </w:p>
    <w:p w:rsidR="00650F80" w:rsidRPr="00751C3A" w:rsidRDefault="00650F80" w:rsidP="00B844A4">
      <w:pPr>
        <w:jc w:val="both"/>
      </w:pPr>
      <w:r w:rsidRPr="00751C3A">
        <w:t xml:space="preserve">Ukupni Rashodi i izdaci sastoje se od Rashoda poslovanja koji su za 2023. planirani u iznosu od 5.565.500,00 EUR dok su projekcije za naredne dvije godine u iznosu od 5.430.500,00 EUR, zatim od Rashoda za nabavu nefinancijske imovine koji su za 2023. i projekcijama planirani u iznosu od 2.405.800,00 EUR, </w:t>
      </w:r>
      <w:r w:rsidR="00E31AEB" w:rsidRPr="00751C3A">
        <w:t>te Izdataka za financijsku imovinu i otplate zajmova</w:t>
      </w:r>
      <w:r w:rsidRPr="00751C3A">
        <w:t xml:space="preserve"> </w:t>
      </w:r>
      <w:r w:rsidR="00E31AEB" w:rsidRPr="00751C3A">
        <w:t>koji su za 2023. planirani u iznosu od 343.500,00 EUR i u  projekcijama u iznosu od 113.000,00 EUR.</w:t>
      </w:r>
    </w:p>
    <w:p w:rsidR="00E31AEB" w:rsidRPr="00751C3A" w:rsidRDefault="00E31AEB" w:rsidP="00B844A4">
      <w:pPr>
        <w:jc w:val="both"/>
      </w:pPr>
    </w:p>
    <w:p w:rsidR="00E31AEB" w:rsidRPr="00751C3A" w:rsidRDefault="00E31AEB" w:rsidP="00B844A4">
      <w:pPr>
        <w:jc w:val="both"/>
        <w:rPr>
          <w:i/>
        </w:rPr>
      </w:pPr>
      <w:r w:rsidRPr="00751C3A">
        <w:rPr>
          <w:i/>
        </w:rPr>
        <w:t>Rashodi poslovanja</w:t>
      </w:r>
    </w:p>
    <w:p w:rsidR="006747FD" w:rsidRPr="00751C3A" w:rsidRDefault="006747FD" w:rsidP="00B844A4">
      <w:pPr>
        <w:jc w:val="both"/>
      </w:pPr>
      <w:r w:rsidRPr="00751C3A">
        <w:t>U ovu skupinu rashoda spadaju Rashodi za zaposlene (31), Materijalni rashodi (32), Financijski rashodi (34), Subvencije (35), Naknade građanima i kućanstvima na temelju osiguranja i druge naknade (37) te Ostali rashodi (38).</w:t>
      </w:r>
    </w:p>
    <w:p w:rsidR="006747FD" w:rsidRPr="00751C3A" w:rsidRDefault="006747FD" w:rsidP="00B844A4">
      <w:pPr>
        <w:jc w:val="both"/>
        <w:rPr>
          <w:i/>
        </w:rPr>
      </w:pPr>
      <w:r w:rsidRPr="00751C3A">
        <w:rPr>
          <w:i/>
        </w:rPr>
        <w:t>Rashodi za zaposlene (31)</w:t>
      </w:r>
    </w:p>
    <w:p w:rsidR="00147308" w:rsidRPr="00751C3A" w:rsidRDefault="006747FD" w:rsidP="00B844A4">
      <w:pPr>
        <w:jc w:val="both"/>
      </w:pPr>
      <w:r w:rsidRPr="00751C3A">
        <w:t xml:space="preserve">Rashodi za zaposlene odnose se na plaće i doprinose na plaće te ostale rashode za zaposlene vezane uz materijalna prava zaposlenih u upravnim tijelima Grada te kod proračunskih korisnika.  </w:t>
      </w:r>
      <w:r w:rsidR="00147308" w:rsidRPr="00751C3A">
        <w:t>ovi rashodi planirani su u 2023. te u projekcijama za naredne dvije godine u iznosu od 1.700.200,00 EUR.</w:t>
      </w:r>
    </w:p>
    <w:p w:rsidR="00147308" w:rsidRPr="00751C3A" w:rsidRDefault="00147308" w:rsidP="00B844A4">
      <w:pPr>
        <w:jc w:val="both"/>
        <w:rPr>
          <w:i/>
        </w:rPr>
      </w:pPr>
      <w:r w:rsidRPr="00751C3A">
        <w:rPr>
          <w:i/>
        </w:rPr>
        <w:t>Materijalni rashodi (32)</w:t>
      </w:r>
    </w:p>
    <w:p w:rsidR="00147308" w:rsidRPr="00751C3A" w:rsidRDefault="00147308" w:rsidP="00B844A4">
      <w:pPr>
        <w:jc w:val="both"/>
      </w:pPr>
      <w:r w:rsidRPr="00751C3A">
        <w:t xml:space="preserve">U ovu skupinu rashoda ulaze naknade troškova zaposlenima, rashodi za energiju i materijal, rashodi za usluge, naknade troškova osobama izvan radnog odnosa, te ostali nespomenuti rashodi poslovanja kao što su naknade za rad predstavničkih i izvršnih tijela, premije osiguranja, reprezentacija, pristojbe i naknade i dr. </w:t>
      </w:r>
      <w:r w:rsidR="007A3479" w:rsidRPr="00751C3A">
        <w:t>Ovi rashodi planirani su u 2023. u iznosu od 3.266.700,00 EUR, dok projekcije iznose 3.131.700,00 EUR godišnje.</w:t>
      </w:r>
    </w:p>
    <w:p w:rsidR="007A3479" w:rsidRPr="00751C3A" w:rsidRDefault="007A3479" w:rsidP="00B844A4">
      <w:pPr>
        <w:jc w:val="both"/>
        <w:rPr>
          <w:i/>
        </w:rPr>
      </w:pPr>
      <w:r w:rsidRPr="00751C3A">
        <w:rPr>
          <w:i/>
        </w:rPr>
        <w:lastRenderedPageBreak/>
        <w:t>Financijski rashodi (34)</w:t>
      </w:r>
    </w:p>
    <w:p w:rsidR="007A3479" w:rsidRPr="00751C3A" w:rsidRDefault="007A3479" w:rsidP="00B844A4">
      <w:pPr>
        <w:jc w:val="both"/>
      </w:pPr>
      <w:r w:rsidRPr="00751C3A">
        <w:t>Financijski rashodi odnose se na kamate na primljene kredite te bankarske usluge i zatezne kamate. Ovi rashodi za 2023. i u projekcijama planiran</w:t>
      </w:r>
      <w:r w:rsidR="00D62800" w:rsidRPr="00751C3A">
        <w:t>i su u iznosu od 70.800,00 EUR.</w:t>
      </w:r>
    </w:p>
    <w:p w:rsidR="007A3479" w:rsidRPr="00751C3A" w:rsidRDefault="007A3479" w:rsidP="00B844A4">
      <w:pPr>
        <w:jc w:val="both"/>
        <w:rPr>
          <w:i/>
        </w:rPr>
      </w:pPr>
      <w:r w:rsidRPr="00751C3A">
        <w:rPr>
          <w:i/>
        </w:rPr>
        <w:t>Subvencije (35)</w:t>
      </w:r>
    </w:p>
    <w:p w:rsidR="007A3479" w:rsidRPr="00751C3A" w:rsidRDefault="007A3479" w:rsidP="00B844A4">
      <w:pPr>
        <w:jc w:val="both"/>
      </w:pPr>
      <w:r w:rsidRPr="00751C3A">
        <w:t>U ove rashode planirane su subvencije trgovačkim društvima, poljoprivrednicima i obrtnicima. Za navedene rashode planirani su iznosi za 2023. i u projekcijama za 2024. i 2</w:t>
      </w:r>
      <w:r w:rsidR="00D62800" w:rsidRPr="00751C3A">
        <w:t>025. u iznosu od 30.000,00 EUR.</w:t>
      </w:r>
    </w:p>
    <w:p w:rsidR="007A3479" w:rsidRPr="00751C3A" w:rsidRDefault="00CE4C5E" w:rsidP="00B844A4">
      <w:pPr>
        <w:jc w:val="both"/>
        <w:rPr>
          <w:i/>
        </w:rPr>
      </w:pPr>
      <w:r w:rsidRPr="00751C3A">
        <w:rPr>
          <w:i/>
        </w:rPr>
        <w:t>Naknade građanima i kućanstvima na temelju osiguranja i druge naknade (37)</w:t>
      </w:r>
    </w:p>
    <w:p w:rsidR="00CE4C5E" w:rsidRPr="00751C3A" w:rsidRDefault="00CE4C5E" w:rsidP="00B844A4">
      <w:pPr>
        <w:jc w:val="both"/>
      </w:pPr>
      <w:r w:rsidRPr="00751C3A">
        <w:t>Ovu skupinu rashoda čine naknade građanima kao što su dodaci umirovljenicima, davanja kroz socijalni program, sufinanciranje boravka djece, sufinanciranje nabavke školskog pribora i dr. Ovi rashodi planirani su u 2023. te u projekcijama za naredne godi</w:t>
      </w:r>
      <w:r w:rsidR="00D62800" w:rsidRPr="00751C3A">
        <w:t xml:space="preserve">ne u iznosu od 145.100,00 EUR. </w:t>
      </w:r>
    </w:p>
    <w:p w:rsidR="00CE4C5E" w:rsidRPr="00751C3A" w:rsidRDefault="00CE4C5E" w:rsidP="00B844A4">
      <w:pPr>
        <w:jc w:val="both"/>
        <w:rPr>
          <w:i/>
        </w:rPr>
      </w:pPr>
      <w:r w:rsidRPr="00751C3A">
        <w:rPr>
          <w:i/>
        </w:rPr>
        <w:t>Ostali rashodi (38)</w:t>
      </w:r>
    </w:p>
    <w:p w:rsidR="00CE4C5E" w:rsidRPr="00751C3A" w:rsidRDefault="00CE4C5E" w:rsidP="00B844A4">
      <w:pPr>
        <w:jc w:val="both"/>
      </w:pPr>
      <w:r w:rsidRPr="00751C3A">
        <w:t>Ovu skupinu rashoda čine tekuće i kapitalne donacije (</w:t>
      </w:r>
      <w:r w:rsidR="007B0429" w:rsidRPr="00751C3A">
        <w:t>po programu javnih potreba, po posebnim odlukama, za redovno financiranje političkih stranaka i dr.) te  tekuća proračunska zaliha. Ovi rashodi planirani su u proračunu za 2023. i u projekcijama za 2024. i 2025. u iznosu od 352.700,00 EUR.</w:t>
      </w:r>
    </w:p>
    <w:p w:rsidR="007B0429" w:rsidRPr="00751C3A" w:rsidRDefault="007B0429" w:rsidP="00B844A4">
      <w:pPr>
        <w:jc w:val="both"/>
      </w:pPr>
    </w:p>
    <w:p w:rsidR="007B0429" w:rsidRPr="00751C3A" w:rsidRDefault="007B0429" w:rsidP="00B844A4">
      <w:pPr>
        <w:jc w:val="both"/>
        <w:rPr>
          <w:i/>
        </w:rPr>
      </w:pPr>
      <w:r w:rsidRPr="00751C3A">
        <w:rPr>
          <w:i/>
        </w:rPr>
        <w:t>Rashodi za nabavu nefinancijske imovine</w:t>
      </w:r>
    </w:p>
    <w:p w:rsidR="006502F1" w:rsidRPr="00751C3A" w:rsidRDefault="007B0429" w:rsidP="00B844A4">
      <w:pPr>
        <w:jc w:val="both"/>
      </w:pPr>
      <w:r w:rsidRPr="00751C3A">
        <w:t>U ovu skupinu rashoda spadaju Rashodi za nabavu neproizvedene dugotrajne imovine (41), Rashodi za nabavu proizvedene dugotrajne imovine (42), Rashodi za nabavu plemenitih metala i ostalih pohranjenih vrijednosti (43), Rashodi za dodatna ulaganja na nefinancijskoj imovini (45)</w:t>
      </w:r>
      <w:r w:rsidR="006502F1" w:rsidRPr="00751C3A">
        <w:t>.</w:t>
      </w:r>
    </w:p>
    <w:p w:rsidR="006502F1" w:rsidRPr="00751C3A" w:rsidRDefault="006502F1" w:rsidP="00B844A4">
      <w:pPr>
        <w:jc w:val="both"/>
        <w:rPr>
          <w:i/>
        </w:rPr>
      </w:pPr>
      <w:r w:rsidRPr="00751C3A">
        <w:rPr>
          <w:i/>
        </w:rPr>
        <w:t>Rashodi za nabavu neproizvedene dugotrajne imovine (41)</w:t>
      </w:r>
    </w:p>
    <w:p w:rsidR="006502F1" w:rsidRPr="00751C3A" w:rsidRDefault="006502F1" w:rsidP="00B844A4">
      <w:pPr>
        <w:jc w:val="both"/>
      </w:pPr>
      <w:r w:rsidRPr="00751C3A">
        <w:t>Ovu skupinu čine rashodi za nabavu materijalne imovine odnosno zemljišta kroz program upravljanja imovinom te trošak prava izvornosti proizvoda. Planirani rashodi u proračunu za 2023. i projekcijama za 2024.</w:t>
      </w:r>
      <w:r w:rsidR="00D62800" w:rsidRPr="00751C3A">
        <w:t xml:space="preserve"> i 2025. iznose 113.600,00 EUR.</w:t>
      </w:r>
    </w:p>
    <w:p w:rsidR="006502F1" w:rsidRPr="00751C3A" w:rsidRDefault="006502F1" w:rsidP="00B844A4">
      <w:pPr>
        <w:jc w:val="both"/>
        <w:rPr>
          <w:i/>
        </w:rPr>
      </w:pPr>
      <w:r w:rsidRPr="00751C3A">
        <w:rPr>
          <w:i/>
        </w:rPr>
        <w:t>Rashodi za nabavu proizvedene dugotrajne imovine (42)</w:t>
      </w:r>
    </w:p>
    <w:p w:rsidR="002D4D64" w:rsidRPr="00751C3A" w:rsidRDefault="006502F1" w:rsidP="00B844A4">
      <w:pPr>
        <w:jc w:val="both"/>
      </w:pPr>
      <w:r w:rsidRPr="00751C3A">
        <w:t xml:space="preserve">Ovu skupinu čine rashodi za građevinske objekte, izgradnju cesta, </w:t>
      </w:r>
      <w:r w:rsidR="002D4D64" w:rsidRPr="00751C3A">
        <w:t>nabavu opreme za prostore i javne površine te za nabavu nematerijalne proizvedene imovine (projektna dokumentacija, prostorno planska dokumentacija, računalni programi , knjižna građa).  Planirani rashodi u proračunu za 2023. i projekcijama za 2024. i 2025. iznose 1.554.800,00 EUR.</w:t>
      </w:r>
    </w:p>
    <w:p w:rsidR="002D4D64" w:rsidRPr="00751C3A" w:rsidRDefault="002D4D64" w:rsidP="00B844A4">
      <w:pPr>
        <w:jc w:val="both"/>
        <w:rPr>
          <w:i/>
        </w:rPr>
      </w:pPr>
      <w:r w:rsidRPr="00751C3A">
        <w:rPr>
          <w:i/>
        </w:rPr>
        <w:t>Rashodi za nabavu plemenitih metala i ostalih pohranjenih vrijednosti (43),</w:t>
      </w:r>
    </w:p>
    <w:p w:rsidR="002D4D64" w:rsidRPr="00751C3A" w:rsidRDefault="002D4D64" w:rsidP="00B844A4">
      <w:pPr>
        <w:jc w:val="both"/>
      </w:pPr>
      <w:r w:rsidRPr="00751C3A">
        <w:t xml:space="preserve">Navedeni rashodi odnose se na nabavku </w:t>
      </w:r>
      <w:r w:rsidR="0089537C" w:rsidRPr="00751C3A">
        <w:t>djela koja imaju umjetničku vrijednost</w:t>
      </w:r>
      <w:r w:rsidRPr="00751C3A">
        <w:t xml:space="preserve"> za što je </w:t>
      </w:r>
      <w:r w:rsidR="0089537C" w:rsidRPr="00751C3A">
        <w:t xml:space="preserve">planiran iznos u proračunu za 2023. i projekcijama za 2024. i 2025. u visini od 3.300,00  EUR. </w:t>
      </w:r>
    </w:p>
    <w:p w:rsidR="0089537C" w:rsidRPr="00751C3A" w:rsidRDefault="0089537C" w:rsidP="00B844A4">
      <w:pPr>
        <w:jc w:val="both"/>
      </w:pPr>
    </w:p>
    <w:p w:rsidR="0089537C" w:rsidRPr="00751C3A" w:rsidRDefault="0089537C" w:rsidP="00B844A4">
      <w:pPr>
        <w:jc w:val="both"/>
        <w:rPr>
          <w:i/>
        </w:rPr>
      </w:pPr>
      <w:r w:rsidRPr="00751C3A">
        <w:rPr>
          <w:i/>
        </w:rPr>
        <w:lastRenderedPageBreak/>
        <w:t>Rashodi za dodatna ulaganja na nefinancijskoj imovini (45)</w:t>
      </w:r>
    </w:p>
    <w:p w:rsidR="004A22D8" w:rsidRPr="00751C3A" w:rsidRDefault="0089537C" w:rsidP="00B844A4">
      <w:pPr>
        <w:jc w:val="both"/>
      </w:pPr>
      <w:r w:rsidRPr="00751C3A">
        <w:t>Ove rashode čine ulaganja u postojeću nefinancijsku imovinu, odnosno građevinske objekte, raspoređeno kroz kapitalne projekte u posebnom dijelu proračuna ( uređenje luke, popločavanje ulica, uređenje prostora Uhlinac, uređenje magazina soli, starog mosta, Kneževog dvora, Doma kulture, izrada suhozidne čipke, uređenje Outdoor i sportskog centra</w:t>
      </w:r>
      <w:r w:rsidR="004A22D8" w:rsidRPr="00751C3A">
        <w:t>, uređenje groblja). Za ove rashode planirani su iznosi u proračunu za 2023. i projekcijama za 2024. i 2025. u visini od 734.100,00 EUR.</w:t>
      </w:r>
    </w:p>
    <w:p w:rsidR="004A22D8" w:rsidRPr="00751C3A" w:rsidRDefault="004A22D8" w:rsidP="00B844A4">
      <w:pPr>
        <w:jc w:val="both"/>
      </w:pPr>
    </w:p>
    <w:p w:rsidR="004A22D8" w:rsidRPr="00751C3A" w:rsidRDefault="004A22D8" w:rsidP="00B844A4">
      <w:pPr>
        <w:jc w:val="both"/>
        <w:rPr>
          <w:i/>
        </w:rPr>
      </w:pPr>
      <w:r w:rsidRPr="00751C3A">
        <w:rPr>
          <w:i/>
        </w:rPr>
        <w:t>Izdataka za financijsku imovinu i otplate zajmova</w:t>
      </w:r>
    </w:p>
    <w:p w:rsidR="007B0429" w:rsidRPr="00751C3A" w:rsidRDefault="004A22D8" w:rsidP="00B844A4">
      <w:pPr>
        <w:jc w:val="both"/>
      </w:pPr>
      <w:r w:rsidRPr="00751C3A">
        <w:t xml:space="preserve">Ove izdatke čine Izdaci za otplatu glavnice primljenih kredita i zajmova (54). U proračunu za 2023. planiran je iznos od 343.500,00 EUR za otplatu kredita podignutog radi izgradnje zgrade dječjeg vrtića te povrata beskamatnog zajma državnom proračunu, dok je u projekcijama za 2024. i 2025. planiran iznos od </w:t>
      </w:r>
      <w:r w:rsidR="0089537C" w:rsidRPr="00751C3A">
        <w:t xml:space="preserve">  </w:t>
      </w:r>
      <w:r w:rsidRPr="00751C3A">
        <w:t>113.000,00 EUR</w:t>
      </w:r>
      <w:r w:rsidR="00005D98" w:rsidRPr="00751C3A">
        <w:t xml:space="preserve"> za otplatu kredita.</w:t>
      </w:r>
    </w:p>
    <w:p w:rsidR="00005D98" w:rsidRPr="00751C3A" w:rsidRDefault="00005D98" w:rsidP="00B844A4">
      <w:pPr>
        <w:jc w:val="both"/>
      </w:pPr>
    </w:p>
    <w:p w:rsidR="003F318A" w:rsidRPr="00751C3A" w:rsidRDefault="003F318A" w:rsidP="00B844A4">
      <w:pPr>
        <w:jc w:val="both"/>
        <w:rPr>
          <w:i/>
        </w:rPr>
      </w:pPr>
      <w:r w:rsidRPr="00751C3A">
        <w:rPr>
          <w:i/>
        </w:rPr>
        <w:t>Prenesena sredstva – višak / manjak</w:t>
      </w:r>
    </w:p>
    <w:p w:rsidR="003F318A" w:rsidRPr="00751C3A" w:rsidRDefault="003F318A" w:rsidP="00B844A4">
      <w:pPr>
        <w:jc w:val="both"/>
      </w:pPr>
      <w:r w:rsidRPr="00751C3A">
        <w:t>Manjak proračuna Grada Pag Planira se u iznosu od 1.872.500 EUR. Isti se planira pokriti kroz proračun 2023. u visini od 774.000,00 EUR, u 2024. iznos od 774.000,00 EUR te u 2025. iznos od 324.500,00 EUR. Proračunski korisnici iskazuju višak planiran kroz proračun i irojekcije u iznosu od 67.500,00 EUR.</w:t>
      </w:r>
    </w:p>
    <w:p w:rsidR="00B844A4" w:rsidRPr="00751C3A" w:rsidRDefault="00B844A4" w:rsidP="001245E4">
      <w:pPr>
        <w:jc w:val="both"/>
      </w:pPr>
    </w:p>
    <w:p w:rsidR="00301454" w:rsidRPr="00751C3A" w:rsidRDefault="00301454" w:rsidP="001245E4">
      <w:pPr>
        <w:jc w:val="both"/>
      </w:pPr>
      <w:r w:rsidRPr="00751C3A">
        <w:t>OBRAZLOŽENJE POSEBNOG DIJELA PRORAČUNA</w:t>
      </w:r>
    </w:p>
    <w:p w:rsidR="00301454" w:rsidRPr="00751C3A" w:rsidRDefault="00301454" w:rsidP="00301454">
      <w:pPr>
        <w:tabs>
          <w:tab w:val="left" w:pos="567"/>
          <w:tab w:val="decimal" w:pos="7655"/>
        </w:tabs>
        <w:jc w:val="both"/>
        <w:rPr>
          <w:rFonts w:ascii="Calibri" w:hAnsi="Calibri"/>
          <w:sz w:val="22"/>
          <w:szCs w:val="22"/>
        </w:rPr>
      </w:pPr>
      <w:r w:rsidRPr="00751C3A">
        <w:t>U Posebnom dijelu Proračuna planirani su rashodi i izdaci po programima, a unutar istih po aktivnostima i projektima u okviru razdjela/glava definiranih u skladu s organizacijskom klasifikacijom Proračuna. U nastavku se daje obrazloženje Posebnog dijela Proračuna za 2023. godinu i projekcija za 2024. i 2025.</w:t>
      </w:r>
      <w:r w:rsidRPr="00751C3A">
        <w:rPr>
          <w:rFonts w:ascii="Calibri" w:hAnsi="Calibri"/>
          <w:sz w:val="22"/>
          <w:szCs w:val="22"/>
        </w:rPr>
        <w:t xml:space="preserve"> godinu. </w:t>
      </w:r>
    </w:p>
    <w:tbl>
      <w:tblPr>
        <w:tblW w:w="9473" w:type="dxa"/>
        <w:tblLook w:val="04A0" w:firstRow="1" w:lastRow="0" w:firstColumn="1" w:lastColumn="0" w:noHBand="0" w:noVBand="1"/>
      </w:tblPr>
      <w:tblGrid>
        <w:gridCol w:w="5245"/>
        <w:gridCol w:w="1384"/>
        <w:gridCol w:w="1384"/>
        <w:gridCol w:w="1460"/>
      </w:tblGrid>
      <w:tr w:rsidR="00001C6D" w:rsidRPr="00751C3A" w:rsidTr="00201DC9">
        <w:trPr>
          <w:trHeight w:val="255"/>
        </w:trPr>
        <w:tc>
          <w:tcPr>
            <w:tcW w:w="5245" w:type="dxa"/>
            <w:tcBorders>
              <w:top w:val="nil"/>
              <w:left w:val="nil"/>
              <w:bottom w:val="nil"/>
              <w:right w:val="nil"/>
            </w:tcBorders>
            <w:shd w:val="clear" w:color="000000" w:fill="000080"/>
            <w:noWrap/>
            <w:vAlign w:val="bottom"/>
          </w:tcPr>
          <w:p w:rsidR="00001C6D" w:rsidRPr="00751C3A" w:rsidRDefault="00001C6D" w:rsidP="00201DC9">
            <w:pPr>
              <w:spacing w:after="0" w:line="240" w:lineRule="auto"/>
              <w:rPr>
                <w:rFonts w:asciiTheme="minorHAnsi" w:eastAsia="Times New Roman" w:hAnsiTheme="minorHAnsi" w:cs="Arial"/>
                <w:b/>
                <w:bCs/>
                <w:color w:val="FFFFFF"/>
                <w:sz w:val="20"/>
                <w:szCs w:val="20"/>
              </w:rPr>
            </w:pPr>
          </w:p>
        </w:tc>
        <w:tc>
          <w:tcPr>
            <w:tcW w:w="1384" w:type="dxa"/>
            <w:tcBorders>
              <w:top w:val="nil"/>
              <w:left w:val="nil"/>
              <w:bottom w:val="nil"/>
              <w:right w:val="nil"/>
            </w:tcBorders>
            <w:shd w:val="clear" w:color="000000" w:fill="000080"/>
            <w:noWrap/>
            <w:vAlign w:val="bottom"/>
          </w:tcPr>
          <w:p w:rsidR="00001C6D" w:rsidRPr="00751C3A" w:rsidRDefault="00001C6D" w:rsidP="00201DC9">
            <w:pPr>
              <w:spacing w:after="0" w:line="240" w:lineRule="auto"/>
              <w:jc w:val="right"/>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2023.</w:t>
            </w:r>
          </w:p>
        </w:tc>
        <w:tc>
          <w:tcPr>
            <w:tcW w:w="1384" w:type="dxa"/>
            <w:tcBorders>
              <w:top w:val="nil"/>
              <w:left w:val="nil"/>
              <w:bottom w:val="nil"/>
              <w:right w:val="nil"/>
            </w:tcBorders>
            <w:shd w:val="clear" w:color="000000" w:fill="000080"/>
            <w:noWrap/>
            <w:vAlign w:val="bottom"/>
          </w:tcPr>
          <w:p w:rsidR="00001C6D" w:rsidRPr="00751C3A" w:rsidRDefault="00001C6D" w:rsidP="00201DC9">
            <w:pPr>
              <w:spacing w:after="0" w:line="240" w:lineRule="auto"/>
              <w:jc w:val="right"/>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2024.</w:t>
            </w:r>
          </w:p>
        </w:tc>
        <w:tc>
          <w:tcPr>
            <w:tcW w:w="1460" w:type="dxa"/>
            <w:tcBorders>
              <w:top w:val="nil"/>
              <w:left w:val="nil"/>
              <w:bottom w:val="nil"/>
              <w:right w:val="nil"/>
            </w:tcBorders>
            <w:shd w:val="clear" w:color="000000" w:fill="000080"/>
            <w:noWrap/>
            <w:vAlign w:val="bottom"/>
          </w:tcPr>
          <w:p w:rsidR="00001C6D" w:rsidRPr="00751C3A" w:rsidRDefault="00001C6D" w:rsidP="00201DC9">
            <w:pPr>
              <w:spacing w:after="0" w:line="240" w:lineRule="auto"/>
              <w:jc w:val="right"/>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2025.</w:t>
            </w:r>
          </w:p>
        </w:tc>
      </w:tr>
      <w:tr w:rsidR="00001C6D" w:rsidRPr="00751C3A" w:rsidTr="00201DC9">
        <w:trPr>
          <w:trHeight w:val="255"/>
        </w:trPr>
        <w:tc>
          <w:tcPr>
            <w:tcW w:w="5245" w:type="dxa"/>
            <w:tcBorders>
              <w:top w:val="nil"/>
              <w:left w:val="nil"/>
              <w:bottom w:val="nil"/>
              <w:right w:val="nil"/>
            </w:tcBorders>
            <w:shd w:val="clear" w:color="000000" w:fill="000080"/>
            <w:noWrap/>
            <w:vAlign w:val="bottom"/>
            <w:hideMark/>
          </w:tcPr>
          <w:p w:rsidR="00001C6D" w:rsidRPr="00751C3A" w:rsidRDefault="00001C6D" w:rsidP="00201DC9">
            <w:pPr>
              <w:spacing w:after="0" w:line="240" w:lineRule="auto"/>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Razdjel 001 PREDSTAVNIČKA I IZVRŠNA TIJELA</w:t>
            </w:r>
          </w:p>
        </w:tc>
        <w:tc>
          <w:tcPr>
            <w:tcW w:w="1384" w:type="dxa"/>
            <w:tcBorders>
              <w:top w:val="nil"/>
              <w:left w:val="nil"/>
              <w:bottom w:val="nil"/>
              <w:right w:val="nil"/>
            </w:tcBorders>
            <w:shd w:val="clear" w:color="000000" w:fill="000080"/>
            <w:noWrap/>
            <w:vAlign w:val="bottom"/>
            <w:hideMark/>
          </w:tcPr>
          <w:p w:rsidR="00001C6D" w:rsidRPr="00751C3A" w:rsidRDefault="00001C6D" w:rsidP="00201DC9">
            <w:pPr>
              <w:spacing w:after="0" w:line="240" w:lineRule="auto"/>
              <w:jc w:val="right"/>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403.100,00</w:t>
            </w:r>
          </w:p>
        </w:tc>
        <w:tc>
          <w:tcPr>
            <w:tcW w:w="1384" w:type="dxa"/>
            <w:tcBorders>
              <w:top w:val="nil"/>
              <w:left w:val="nil"/>
              <w:bottom w:val="nil"/>
              <w:right w:val="nil"/>
            </w:tcBorders>
            <w:shd w:val="clear" w:color="000000" w:fill="000080"/>
            <w:noWrap/>
            <w:vAlign w:val="bottom"/>
            <w:hideMark/>
          </w:tcPr>
          <w:p w:rsidR="00001C6D" w:rsidRPr="00751C3A" w:rsidRDefault="00001C6D" w:rsidP="00201DC9">
            <w:pPr>
              <w:spacing w:after="0" w:line="240" w:lineRule="auto"/>
              <w:jc w:val="right"/>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403.100,00</w:t>
            </w:r>
          </w:p>
        </w:tc>
        <w:tc>
          <w:tcPr>
            <w:tcW w:w="1460" w:type="dxa"/>
            <w:tcBorders>
              <w:top w:val="nil"/>
              <w:left w:val="nil"/>
              <w:bottom w:val="nil"/>
              <w:right w:val="nil"/>
            </w:tcBorders>
            <w:shd w:val="clear" w:color="000000" w:fill="000080"/>
            <w:noWrap/>
            <w:vAlign w:val="bottom"/>
            <w:hideMark/>
          </w:tcPr>
          <w:p w:rsidR="00001C6D" w:rsidRPr="00751C3A" w:rsidRDefault="00001C6D" w:rsidP="00201DC9">
            <w:pPr>
              <w:spacing w:after="0" w:line="240" w:lineRule="auto"/>
              <w:jc w:val="right"/>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403.100,00</w:t>
            </w:r>
          </w:p>
        </w:tc>
      </w:tr>
      <w:tr w:rsidR="00001C6D" w:rsidRPr="00751C3A" w:rsidTr="00201DC9">
        <w:trPr>
          <w:trHeight w:val="255"/>
        </w:trPr>
        <w:tc>
          <w:tcPr>
            <w:tcW w:w="5245" w:type="dxa"/>
            <w:tcBorders>
              <w:top w:val="nil"/>
              <w:left w:val="nil"/>
              <w:bottom w:val="nil"/>
              <w:right w:val="nil"/>
            </w:tcBorders>
            <w:shd w:val="clear" w:color="000000" w:fill="0000FF"/>
            <w:noWrap/>
            <w:vAlign w:val="bottom"/>
            <w:hideMark/>
          </w:tcPr>
          <w:p w:rsidR="00001C6D" w:rsidRPr="00751C3A" w:rsidRDefault="00001C6D" w:rsidP="00201DC9">
            <w:pPr>
              <w:spacing w:after="0" w:line="240" w:lineRule="auto"/>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Glava 00101 PREDSTAVNIČKA I IZVRŠNA TIJELA</w:t>
            </w:r>
          </w:p>
        </w:tc>
        <w:tc>
          <w:tcPr>
            <w:tcW w:w="1384" w:type="dxa"/>
            <w:tcBorders>
              <w:top w:val="nil"/>
              <w:left w:val="nil"/>
              <w:bottom w:val="nil"/>
              <w:right w:val="nil"/>
            </w:tcBorders>
            <w:shd w:val="clear" w:color="000000" w:fill="0000FF"/>
            <w:noWrap/>
            <w:vAlign w:val="bottom"/>
            <w:hideMark/>
          </w:tcPr>
          <w:p w:rsidR="00001C6D" w:rsidRPr="00751C3A" w:rsidRDefault="00001C6D" w:rsidP="00201DC9">
            <w:pPr>
              <w:spacing w:after="0" w:line="240" w:lineRule="auto"/>
              <w:jc w:val="right"/>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403.100,00</w:t>
            </w:r>
          </w:p>
        </w:tc>
        <w:tc>
          <w:tcPr>
            <w:tcW w:w="1384" w:type="dxa"/>
            <w:tcBorders>
              <w:top w:val="nil"/>
              <w:left w:val="nil"/>
              <w:bottom w:val="nil"/>
              <w:right w:val="nil"/>
            </w:tcBorders>
            <w:shd w:val="clear" w:color="000000" w:fill="0000FF"/>
            <w:noWrap/>
            <w:vAlign w:val="bottom"/>
            <w:hideMark/>
          </w:tcPr>
          <w:p w:rsidR="00001C6D" w:rsidRPr="00751C3A" w:rsidRDefault="00001C6D" w:rsidP="00201DC9">
            <w:pPr>
              <w:spacing w:after="0" w:line="240" w:lineRule="auto"/>
              <w:jc w:val="right"/>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403.100,00</w:t>
            </w:r>
          </w:p>
        </w:tc>
        <w:tc>
          <w:tcPr>
            <w:tcW w:w="1460" w:type="dxa"/>
            <w:tcBorders>
              <w:top w:val="nil"/>
              <w:left w:val="nil"/>
              <w:bottom w:val="nil"/>
              <w:right w:val="nil"/>
            </w:tcBorders>
            <w:shd w:val="clear" w:color="000000" w:fill="0000FF"/>
            <w:noWrap/>
            <w:vAlign w:val="bottom"/>
            <w:hideMark/>
          </w:tcPr>
          <w:p w:rsidR="00001C6D" w:rsidRPr="00751C3A" w:rsidRDefault="00001C6D" w:rsidP="00201DC9">
            <w:pPr>
              <w:spacing w:after="0" w:line="240" w:lineRule="auto"/>
              <w:jc w:val="right"/>
              <w:rPr>
                <w:rFonts w:asciiTheme="minorHAnsi" w:eastAsia="Times New Roman" w:hAnsiTheme="minorHAnsi" w:cs="Arial"/>
                <w:b/>
                <w:bCs/>
                <w:color w:val="FFFFFF"/>
                <w:sz w:val="20"/>
                <w:szCs w:val="20"/>
              </w:rPr>
            </w:pPr>
            <w:r w:rsidRPr="00751C3A">
              <w:rPr>
                <w:rFonts w:asciiTheme="minorHAnsi" w:eastAsia="Times New Roman" w:hAnsiTheme="minorHAnsi" w:cs="Arial"/>
                <w:b/>
                <w:bCs/>
                <w:color w:val="FFFFFF"/>
                <w:sz w:val="20"/>
                <w:szCs w:val="20"/>
              </w:rPr>
              <w:t>403.100,00</w:t>
            </w:r>
          </w:p>
        </w:tc>
      </w:tr>
    </w:tbl>
    <w:p w:rsidR="00705D83" w:rsidRPr="00751C3A" w:rsidRDefault="00705D83" w:rsidP="00301454">
      <w:pPr>
        <w:tabs>
          <w:tab w:val="left" w:pos="567"/>
          <w:tab w:val="decimal" w:pos="7655"/>
        </w:tabs>
        <w:jc w:val="both"/>
      </w:pPr>
    </w:p>
    <w:tbl>
      <w:tblPr>
        <w:tblW w:w="9473" w:type="dxa"/>
        <w:tblLook w:val="04A0" w:firstRow="1" w:lastRow="0" w:firstColumn="1" w:lastColumn="0" w:noHBand="0" w:noVBand="1"/>
      </w:tblPr>
      <w:tblGrid>
        <w:gridCol w:w="5245"/>
        <w:gridCol w:w="1384"/>
        <w:gridCol w:w="1384"/>
        <w:gridCol w:w="1460"/>
      </w:tblGrid>
      <w:tr w:rsidR="00201DC9" w:rsidRPr="00751C3A" w:rsidTr="00BE0085">
        <w:trPr>
          <w:trHeight w:val="255"/>
        </w:trPr>
        <w:tc>
          <w:tcPr>
            <w:tcW w:w="5245" w:type="dxa"/>
            <w:tcBorders>
              <w:top w:val="nil"/>
              <w:left w:val="nil"/>
              <w:bottom w:val="nil"/>
              <w:right w:val="nil"/>
            </w:tcBorders>
            <w:shd w:val="clear" w:color="000000" w:fill="9999FF"/>
            <w:noWrap/>
            <w:vAlign w:val="bottom"/>
          </w:tcPr>
          <w:p w:rsidR="00201DC9" w:rsidRPr="00751C3A" w:rsidRDefault="00201DC9" w:rsidP="00BE0085">
            <w:pPr>
              <w:spacing w:after="0" w:line="240" w:lineRule="auto"/>
              <w:rPr>
                <w:rFonts w:asciiTheme="minorHAnsi" w:eastAsia="Times New Roman" w:hAnsiTheme="minorHAnsi" w:cs="Arial"/>
                <w:b/>
                <w:bCs/>
                <w:color w:val="000000"/>
                <w:sz w:val="20"/>
                <w:szCs w:val="20"/>
              </w:rPr>
            </w:pPr>
          </w:p>
        </w:tc>
        <w:tc>
          <w:tcPr>
            <w:tcW w:w="1384" w:type="dxa"/>
            <w:tcBorders>
              <w:top w:val="nil"/>
              <w:left w:val="nil"/>
              <w:bottom w:val="nil"/>
              <w:right w:val="nil"/>
            </w:tcBorders>
            <w:shd w:val="clear" w:color="000000" w:fill="9999FF"/>
            <w:noWrap/>
            <w:vAlign w:val="bottom"/>
          </w:tcPr>
          <w:p w:rsidR="00201DC9" w:rsidRPr="00751C3A" w:rsidRDefault="00201DC9"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2023</w:t>
            </w:r>
          </w:p>
        </w:tc>
        <w:tc>
          <w:tcPr>
            <w:tcW w:w="1384" w:type="dxa"/>
            <w:tcBorders>
              <w:top w:val="nil"/>
              <w:left w:val="nil"/>
              <w:bottom w:val="nil"/>
              <w:right w:val="nil"/>
            </w:tcBorders>
            <w:shd w:val="clear" w:color="000000" w:fill="9999FF"/>
            <w:noWrap/>
            <w:vAlign w:val="bottom"/>
          </w:tcPr>
          <w:p w:rsidR="00201DC9" w:rsidRPr="00751C3A" w:rsidRDefault="00201DC9"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2024</w:t>
            </w:r>
          </w:p>
        </w:tc>
        <w:tc>
          <w:tcPr>
            <w:tcW w:w="1460" w:type="dxa"/>
            <w:tcBorders>
              <w:top w:val="nil"/>
              <w:left w:val="nil"/>
              <w:bottom w:val="nil"/>
              <w:right w:val="nil"/>
            </w:tcBorders>
            <w:shd w:val="clear" w:color="000000" w:fill="9999FF"/>
            <w:noWrap/>
            <w:vAlign w:val="bottom"/>
          </w:tcPr>
          <w:p w:rsidR="00201DC9" w:rsidRPr="00751C3A" w:rsidRDefault="00201DC9"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2025</w:t>
            </w:r>
          </w:p>
        </w:tc>
      </w:tr>
      <w:tr w:rsidR="00BE0085" w:rsidRPr="00751C3A" w:rsidTr="00BE0085">
        <w:trPr>
          <w:trHeight w:val="255"/>
        </w:trPr>
        <w:tc>
          <w:tcPr>
            <w:tcW w:w="5245" w:type="dxa"/>
            <w:tcBorders>
              <w:top w:val="nil"/>
              <w:left w:val="nil"/>
              <w:bottom w:val="nil"/>
              <w:right w:val="nil"/>
            </w:tcBorders>
            <w:shd w:val="clear" w:color="000000" w:fill="9999FF"/>
            <w:noWrap/>
            <w:vAlign w:val="bottom"/>
            <w:hideMark/>
          </w:tcPr>
          <w:p w:rsidR="00BE0085" w:rsidRPr="00751C3A" w:rsidRDefault="00BE0085" w:rsidP="00BE0085">
            <w:pPr>
              <w:spacing w:after="0" w:line="240" w:lineRule="auto"/>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Program 1000 DONOŠENJE AKATA I MJERA IZ DJELOKRUGA PREDSTAVNIČKOG I IZVRŠNOG TIJELA</w:t>
            </w:r>
          </w:p>
        </w:tc>
        <w:tc>
          <w:tcPr>
            <w:tcW w:w="1384" w:type="dxa"/>
            <w:tcBorders>
              <w:top w:val="nil"/>
              <w:left w:val="nil"/>
              <w:bottom w:val="nil"/>
              <w:right w:val="nil"/>
            </w:tcBorders>
            <w:shd w:val="clear" w:color="000000" w:fill="9999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196.700,00</w:t>
            </w:r>
          </w:p>
        </w:tc>
        <w:tc>
          <w:tcPr>
            <w:tcW w:w="1384" w:type="dxa"/>
            <w:tcBorders>
              <w:top w:val="nil"/>
              <w:left w:val="nil"/>
              <w:bottom w:val="nil"/>
              <w:right w:val="nil"/>
            </w:tcBorders>
            <w:shd w:val="clear" w:color="000000" w:fill="9999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196.700,00</w:t>
            </w:r>
          </w:p>
        </w:tc>
        <w:tc>
          <w:tcPr>
            <w:tcW w:w="1460" w:type="dxa"/>
            <w:tcBorders>
              <w:top w:val="nil"/>
              <w:left w:val="nil"/>
              <w:bottom w:val="nil"/>
              <w:right w:val="nil"/>
            </w:tcBorders>
            <w:shd w:val="clear" w:color="000000" w:fill="9999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196.700,00</w:t>
            </w:r>
          </w:p>
        </w:tc>
      </w:tr>
      <w:tr w:rsidR="00BE0085" w:rsidRPr="00751C3A" w:rsidTr="00BE0085">
        <w:trPr>
          <w:trHeight w:val="255"/>
        </w:trPr>
        <w:tc>
          <w:tcPr>
            <w:tcW w:w="5245"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Aktivnost A100001 Predstavničko i izvršna tijela</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100.600,00</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100.600,00</w:t>
            </w:r>
          </w:p>
        </w:tc>
        <w:tc>
          <w:tcPr>
            <w:tcW w:w="1460"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100.600,00</w:t>
            </w:r>
          </w:p>
        </w:tc>
      </w:tr>
      <w:tr w:rsidR="00BE0085" w:rsidRPr="00751C3A" w:rsidTr="00BE0085">
        <w:trPr>
          <w:trHeight w:val="255"/>
        </w:trPr>
        <w:tc>
          <w:tcPr>
            <w:tcW w:w="5245"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Aktivnost A100002 Protokolarni izdaci i obilježavanje obljetnica i blagdana</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25.100,00</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25.100,00</w:t>
            </w:r>
          </w:p>
        </w:tc>
        <w:tc>
          <w:tcPr>
            <w:tcW w:w="1460"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25.100,00</w:t>
            </w:r>
          </w:p>
        </w:tc>
      </w:tr>
      <w:tr w:rsidR="00BE0085" w:rsidRPr="00751C3A" w:rsidTr="00BE0085">
        <w:trPr>
          <w:trHeight w:val="255"/>
        </w:trPr>
        <w:tc>
          <w:tcPr>
            <w:tcW w:w="5245"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Aktivnost A100003 Međunarodna i međugradska suradnja</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13.300,00</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13.300,00</w:t>
            </w:r>
          </w:p>
        </w:tc>
        <w:tc>
          <w:tcPr>
            <w:tcW w:w="1460"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13.300,00</w:t>
            </w:r>
          </w:p>
        </w:tc>
      </w:tr>
      <w:tr w:rsidR="00BE0085" w:rsidRPr="00751C3A" w:rsidTr="00BE0085">
        <w:trPr>
          <w:trHeight w:val="255"/>
        </w:trPr>
        <w:tc>
          <w:tcPr>
            <w:tcW w:w="5245"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Aktivnost A100004 Donacije, sponzorstva i doznake po posebnim odlukama</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15.300,00</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15.300,00</w:t>
            </w:r>
          </w:p>
        </w:tc>
        <w:tc>
          <w:tcPr>
            <w:tcW w:w="1460"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15.300,00</w:t>
            </w:r>
          </w:p>
        </w:tc>
      </w:tr>
      <w:tr w:rsidR="00BE0085" w:rsidRPr="00751C3A" w:rsidTr="00BE0085">
        <w:trPr>
          <w:trHeight w:val="255"/>
        </w:trPr>
        <w:tc>
          <w:tcPr>
            <w:tcW w:w="5245"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Aktivnost A100005 Proračunska pričuva</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14.000,00</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14.000,00</w:t>
            </w:r>
          </w:p>
        </w:tc>
        <w:tc>
          <w:tcPr>
            <w:tcW w:w="1460"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14.000,00</w:t>
            </w:r>
          </w:p>
        </w:tc>
      </w:tr>
      <w:tr w:rsidR="00BE0085" w:rsidRPr="00751C3A" w:rsidTr="00BE0085">
        <w:trPr>
          <w:trHeight w:val="255"/>
        </w:trPr>
        <w:tc>
          <w:tcPr>
            <w:tcW w:w="5245"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lastRenderedPageBreak/>
              <w:t>Aktivnost A100006 Savjet mladih</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700,00</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700,00</w:t>
            </w:r>
          </w:p>
        </w:tc>
        <w:tc>
          <w:tcPr>
            <w:tcW w:w="1460"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700,00</w:t>
            </w:r>
          </w:p>
        </w:tc>
      </w:tr>
      <w:tr w:rsidR="00BE0085" w:rsidRPr="00751C3A" w:rsidTr="00BE0085">
        <w:trPr>
          <w:trHeight w:val="255"/>
        </w:trPr>
        <w:tc>
          <w:tcPr>
            <w:tcW w:w="5245"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Aktivnost A100007 Naknade građanima - prigodni pokloni</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27.700,00</w:t>
            </w:r>
          </w:p>
        </w:tc>
        <w:tc>
          <w:tcPr>
            <w:tcW w:w="1384"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27.700,00</w:t>
            </w:r>
          </w:p>
        </w:tc>
        <w:tc>
          <w:tcPr>
            <w:tcW w:w="1460" w:type="dxa"/>
            <w:tcBorders>
              <w:top w:val="nil"/>
              <w:left w:val="nil"/>
              <w:bottom w:val="nil"/>
              <w:right w:val="nil"/>
            </w:tcBorders>
            <w:shd w:val="clear" w:color="000000" w:fill="CCCCFF"/>
            <w:noWrap/>
            <w:vAlign w:val="bottom"/>
            <w:hideMark/>
          </w:tcPr>
          <w:p w:rsidR="00BE0085" w:rsidRPr="00751C3A" w:rsidRDefault="00BE0085" w:rsidP="00BE0085">
            <w:pPr>
              <w:spacing w:after="0" w:line="240" w:lineRule="auto"/>
              <w:jc w:val="right"/>
              <w:rPr>
                <w:rFonts w:asciiTheme="minorHAnsi" w:eastAsia="Times New Roman" w:hAnsiTheme="minorHAnsi" w:cs="Arial"/>
                <w:b/>
                <w:bCs/>
                <w:color w:val="000000"/>
                <w:sz w:val="20"/>
                <w:szCs w:val="20"/>
              </w:rPr>
            </w:pPr>
            <w:r w:rsidRPr="00751C3A">
              <w:rPr>
                <w:rFonts w:asciiTheme="minorHAnsi" w:eastAsia="Times New Roman" w:hAnsiTheme="minorHAnsi" w:cs="Arial"/>
                <w:b/>
                <w:bCs/>
                <w:color w:val="000000"/>
                <w:sz w:val="20"/>
                <w:szCs w:val="20"/>
              </w:rPr>
              <w:t>27.700,00</w:t>
            </w:r>
          </w:p>
        </w:tc>
      </w:tr>
    </w:tbl>
    <w:p w:rsidR="00E55858" w:rsidRPr="00751C3A" w:rsidRDefault="003B2352" w:rsidP="003B2352">
      <w:pPr>
        <w:spacing w:after="0"/>
        <w:rPr>
          <w:color w:val="000000" w:themeColor="text1"/>
        </w:rPr>
      </w:pPr>
      <w:r w:rsidRPr="00751C3A">
        <w:rPr>
          <w:color w:val="000000" w:themeColor="text1"/>
          <w:u w:val="single"/>
        </w:rPr>
        <w:t>Cilj :</w:t>
      </w:r>
      <w:r w:rsidRPr="00751C3A">
        <w:rPr>
          <w:color w:val="000000" w:themeColor="text1"/>
        </w:rPr>
        <w:t xml:space="preserve"> redovni rad i obavljanje utvrđenih poslova gradonačelnika i gradskog vijeća, </w:t>
      </w:r>
      <w:r w:rsidR="00E55858" w:rsidRPr="00751C3A">
        <w:rPr>
          <w:color w:val="000000" w:themeColor="text1"/>
        </w:rPr>
        <w:t>osiguranje uvjeta za izvedbu protokolarnih događanja, priredbi i manifestacija, cjelovito obavještavanje javnosti o ostvarivanju postavljenih prioriteta i funkcioniranje političkih stranaka.</w:t>
      </w:r>
      <w:r w:rsidRPr="00751C3A">
        <w:rPr>
          <w:color w:val="000000" w:themeColor="text1"/>
        </w:rPr>
        <w:t xml:space="preserve"> </w:t>
      </w:r>
      <w:r w:rsidR="00E55858" w:rsidRPr="00751C3A">
        <w:rPr>
          <w:color w:val="000000" w:themeColor="text1"/>
        </w:rPr>
        <w:t>Programom se kroz redovne aktivnosti osiguravaju sredstva za funkcioniranje Gradskog vijeća, Gradonačelnika i radnih tijela (naknade za rad predstavničkih i izvršnih tijela, reprezentacija, protokol, intelektualne i osobne usluge, izbori, nagrada Grada, sufinanciranje i pokroviteljstva nad raznim manifestacijama.) i financiranje političkih stranaka.</w:t>
      </w:r>
    </w:p>
    <w:p w:rsidR="00301454" w:rsidRPr="00751C3A" w:rsidRDefault="003B2352" w:rsidP="00AC0B0F">
      <w:pPr>
        <w:spacing w:after="0"/>
      </w:pPr>
      <w:r w:rsidRPr="00751C3A">
        <w:rPr>
          <w:color w:val="000000" w:themeColor="text1"/>
        </w:rPr>
        <w:t xml:space="preserve">Pokazatelji: </w:t>
      </w:r>
      <w:r w:rsidRPr="00751C3A">
        <w:t>provedene protokolarne aktivnosti, transparentno funkci</w:t>
      </w:r>
      <w:r w:rsidR="00751C3A">
        <w:t>o</w:t>
      </w:r>
      <w:r w:rsidRPr="00751C3A">
        <w:t>niranje gradske uprave i informiranje javnosti.</w:t>
      </w:r>
    </w:p>
    <w:tbl>
      <w:tblPr>
        <w:tblW w:w="9385" w:type="dxa"/>
        <w:tblLook w:val="04A0" w:firstRow="1" w:lastRow="0" w:firstColumn="1" w:lastColumn="0" w:noHBand="0" w:noVBand="1"/>
      </w:tblPr>
      <w:tblGrid>
        <w:gridCol w:w="5245"/>
        <w:gridCol w:w="1340"/>
        <w:gridCol w:w="1340"/>
        <w:gridCol w:w="1460"/>
      </w:tblGrid>
      <w:tr w:rsidR="003B2352" w:rsidRPr="00751C3A" w:rsidTr="00001C6D">
        <w:trPr>
          <w:trHeight w:val="255"/>
        </w:trPr>
        <w:tc>
          <w:tcPr>
            <w:tcW w:w="5245" w:type="dxa"/>
            <w:tcBorders>
              <w:top w:val="nil"/>
              <w:left w:val="nil"/>
              <w:bottom w:val="nil"/>
              <w:right w:val="nil"/>
            </w:tcBorders>
            <w:shd w:val="clear" w:color="000000" w:fill="9999FF"/>
            <w:noWrap/>
            <w:vAlign w:val="bottom"/>
          </w:tcPr>
          <w:p w:rsidR="003B2352" w:rsidRPr="00751C3A" w:rsidRDefault="003B2352" w:rsidP="00001C6D">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B2352" w:rsidRPr="00751C3A" w:rsidRDefault="003B2352"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B2352" w:rsidRPr="00751C3A" w:rsidRDefault="003B2352"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B2352" w:rsidRPr="00751C3A" w:rsidRDefault="003B2352"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001C6D" w:rsidRPr="00751C3A" w:rsidTr="00001C6D">
        <w:trPr>
          <w:trHeight w:val="255"/>
        </w:trPr>
        <w:tc>
          <w:tcPr>
            <w:tcW w:w="5245"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1001 RAZVOJ CIVILNOG DRUŠTVA - RAD POLITIČKIH STRANAKA</w:t>
            </w:r>
          </w:p>
        </w:tc>
        <w:tc>
          <w:tcPr>
            <w:tcW w:w="1340"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6.600,00</w:t>
            </w:r>
          </w:p>
        </w:tc>
        <w:tc>
          <w:tcPr>
            <w:tcW w:w="1340"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6.600,00</w:t>
            </w:r>
          </w:p>
        </w:tc>
        <w:tc>
          <w:tcPr>
            <w:tcW w:w="1460"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6.600,00</w:t>
            </w:r>
          </w:p>
        </w:tc>
      </w:tr>
      <w:tr w:rsidR="00001C6D" w:rsidRPr="00751C3A" w:rsidTr="00001C6D">
        <w:trPr>
          <w:trHeight w:val="255"/>
        </w:trPr>
        <w:tc>
          <w:tcPr>
            <w:tcW w:w="5245"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Rad političkih stranaka</w:t>
            </w:r>
          </w:p>
        </w:tc>
        <w:tc>
          <w:tcPr>
            <w:tcW w:w="134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6.600,00</w:t>
            </w:r>
          </w:p>
        </w:tc>
        <w:tc>
          <w:tcPr>
            <w:tcW w:w="134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6.600,00</w:t>
            </w:r>
          </w:p>
        </w:tc>
        <w:tc>
          <w:tcPr>
            <w:tcW w:w="146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6.600,00</w:t>
            </w:r>
          </w:p>
        </w:tc>
      </w:tr>
    </w:tbl>
    <w:p w:rsidR="003B2352" w:rsidRPr="00751C3A" w:rsidRDefault="003B2352" w:rsidP="003B2352">
      <w:pPr>
        <w:spacing w:after="0"/>
        <w:jc w:val="both"/>
      </w:pPr>
      <w:r w:rsidRPr="00751C3A">
        <w:t>Cilj: omogućiti redovne aktivnosti političkih stranaka i rad u gradskom vijeću.</w:t>
      </w:r>
    </w:p>
    <w:p w:rsidR="000C648C" w:rsidRPr="00751C3A" w:rsidRDefault="003B2352" w:rsidP="001F7A5F">
      <w:pPr>
        <w:spacing w:after="0"/>
        <w:jc w:val="both"/>
        <w:rPr>
          <w:sz w:val="22"/>
          <w:szCs w:val="22"/>
        </w:rPr>
      </w:pPr>
      <w:r w:rsidRPr="00751C3A">
        <w:t>Pokazatelji: Iznos financiranja po vijećniku</w:t>
      </w:r>
      <w:r w:rsidRPr="00751C3A">
        <w:rPr>
          <w:sz w:val="22"/>
          <w:szCs w:val="22"/>
        </w:rPr>
        <w:t xml:space="preserve"> </w:t>
      </w:r>
    </w:p>
    <w:tbl>
      <w:tblPr>
        <w:tblW w:w="9385" w:type="dxa"/>
        <w:tblLook w:val="04A0" w:firstRow="1" w:lastRow="0" w:firstColumn="1" w:lastColumn="0" w:noHBand="0" w:noVBand="1"/>
      </w:tblPr>
      <w:tblGrid>
        <w:gridCol w:w="5245"/>
        <w:gridCol w:w="1340"/>
        <w:gridCol w:w="1340"/>
        <w:gridCol w:w="1460"/>
      </w:tblGrid>
      <w:tr w:rsidR="003B2352" w:rsidRPr="00751C3A" w:rsidTr="00001C6D">
        <w:trPr>
          <w:trHeight w:val="255"/>
        </w:trPr>
        <w:tc>
          <w:tcPr>
            <w:tcW w:w="5245" w:type="dxa"/>
            <w:tcBorders>
              <w:top w:val="nil"/>
              <w:left w:val="nil"/>
              <w:bottom w:val="nil"/>
              <w:right w:val="nil"/>
            </w:tcBorders>
            <w:shd w:val="clear" w:color="000000" w:fill="9999FF"/>
            <w:noWrap/>
            <w:vAlign w:val="bottom"/>
          </w:tcPr>
          <w:p w:rsidR="003B2352" w:rsidRPr="00751C3A" w:rsidRDefault="003B2352" w:rsidP="00001C6D">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B2352" w:rsidRPr="00751C3A" w:rsidRDefault="003B2352"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B2352" w:rsidRPr="00751C3A" w:rsidRDefault="003B2352"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B2352" w:rsidRPr="00751C3A" w:rsidRDefault="003B2352"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001C6D" w:rsidRPr="00751C3A" w:rsidTr="00001C6D">
        <w:trPr>
          <w:trHeight w:val="255"/>
        </w:trPr>
        <w:tc>
          <w:tcPr>
            <w:tcW w:w="5245"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1002 MJESNA SAMOUPRAVA</w:t>
            </w:r>
          </w:p>
        </w:tc>
        <w:tc>
          <w:tcPr>
            <w:tcW w:w="1340"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148.100,00</w:t>
            </w:r>
          </w:p>
        </w:tc>
        <w:tc>
          <w:tcPr>
            <w:tcW w:w="1340"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148.100,00</w:t>
            </w:r>
          </w:p>
        </w:tc>
        <w:tc>
          <w:tcPr>
            <w:tcW w:w="1460"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148.100,00</w:t>
            </w:r>
          </w:p>
        </w:tc>
      </w:tr>
      <w:tr w:rsidR="00001C6D" w:rsidRPr="00751C3A" w:rsidTr="00001C6D">
        <w:trPr>
          <w:trHeight w:val="255"/>
        </w:trPr>
        <w:tc>
          <w:tcPr>
            <w:tcW w:w="5245"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Djelokrug mjesne samouprave</w:t>
            </w:r>
          </w:p>
        </w:tc>
        <w:tc>
          <w:tcPr>
            <w:tcW w:w="134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148.100,00</w:t>
            </w:r>
          </w:p>
        </w:tc>
        <w:tc>
          <w:tcPr>
            <w:tcW w:w="134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148.100,00</w:t>
            </w:r>
          </w:p>
        </w:tc>
        <w:tc>
          <w:tcPr>
            <w:tcW w:w="146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148.100,00</w:t>
            </w:r>
          </w:p>
        </w:tc>
      </w:tr>
    </w:tbl>
    <w:p w:rsidR="00001C6D" w:rsidRPr="00751C3A" w:rsidRDefault="001F7A5F" w:rsidP="001F7A5F">
      <w:pPr>
        <w:spacing w:after="0"/>
        <w:jc w:val="both"/>
      </w:pPr>
      <w:r w:rsidRPr="00751C3A">
        <w:t>Cilj: redovno zadovoljenje potreba mjesnih odbora; podmirenje troškova mjesne samouprave, povećanje zadovoljstva stanovništva</w:t>
      </w:r>
    </w:p>
    <w:p w:rsidR="00F441DD" w:rsidRPr="00751C3A" w:rsidRDefault="001F7A5F" w:rsidP="001F7A5F">
      <w:pPr>
        <w:spacing w:after="0"/>
        <w:jc w:val="both"/>
      </w:pPr>
      <w:r w:rsidRPr="00751C3A">
        <w:t>Pokazatelji: visina troškova mjesene samouprave</w:t>
      </w:r>
    </w:p>
    <w:tbl>
      <w:tblPr>
        <w:tblW w:w="9385" w:type="dxa"/>
        <w:tblLook w:val="04A0" w:firstRow="1" w:lastRow="0" w:firstColumn="1" w:lastColumn="0" w:noHBand="0" w:noVBand="1"/>
      </w:tblPr>
      <w:tblGrid>
        <w:gridCol w:w="5245"/>
        <w:gridCol w:w="1340"/>
        <w:gridCol w:w="1340"/>
        <w:gridCol w:w="1460"/>
      </w:tblGrid>
      <w:tr w:rsidR="001F7A5F" w:rsidRPr="00751C3A" w:rsidTr="00001C6D">
        <w:trPr>
          <w:trHeight w:val="255"/>
        </w:trPr>
        <w:tc>
          <w:tcPr>
            <w:tcW w:w="5245" w:type="dxa"/>
            <w:tcBorders>
              <w:top w:val="nil"/>
              <w:left w:val="nil"/>
              <w:bottom w:val="nil"/>
              <w:right w:val="nil"/>
            </w:tcBorders>
            <w:shd w:val="clear" w:color="000000" w:fill="9999FF"/>
            <w:noWrap/>
            <w:vAlign w:val="bottom"/>
          </w:tcPr>
          <w:p w:rsidR="001F7A5F" w:rsidRPr="00751C3A" w:rsidRDefault="001F7A5F" w:rsidP="00001C6D">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1F7A5F" w:rsidRPr="00751C3A" w:rsidRDefault="001F7A5F"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1F7A5F" w:rsidRPr="00751C3A" w:rsidRDefault="001F7A5F"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1F7A5F" w:rsidRPr="00751C3A" w:rsidRDefault="001F7A5F"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001C6D" w:rsidRPr="00751C3A" w:rsidTr="00001C6D">
        <w:trPr>
          <w:trHeight w:val="255"/>
        </w:trPr>
        <w:tc>
          <w:tcPr>
            <w:tcW w:w="5245"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1003 MANIFESTACIJE</w:t>
            </w:r>
          </w:p>
        </w:tc>
        <w:tc>
          <w:tcPr>
            <w:tcW w:w="1340"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51.700,00</w:t>
            </w:r>
          </w:p>
        </w:tc>
        <w:tc>
          <w:tcPr>
            <w:tcW w:w="1340"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51.700,00</w:t>
            </w:r>
          </w:p>
        </w:tc>
        <w:tc>
          <w:tcPr>
            <w:tcW w:w="1460" w:type="dxa"/>
            <w:tcBorders>
              <w:top w:val="nil"/>
              <w:left w:val="nil"/>
              <w:bottom w:val="nil"/>
              <w:right w:val="nil"/>
            </w:tcBorders>
            <w:shd w:val="clear" w:color="000000" w:fill="9999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51.700,00</w:t>
            </w:r>
          </w:p>
        </w:tc>
      </w:tr>
      <w:tr w:rsidR="00001C6D" w:rsidRPr="00751C3A" w:rsidTr="00001C6D">
        <w:trPr>
          <w:trHeight w:val="255"/>
        </w:trPr>
        <w:tc>
          <w:tcPr>
            <w:tcW w:w="5245"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rPr>
                <w:rFonts w:ascii="Arial" w:eastAsia="Times New Roman" w:hAnsi="Arial" w:cs="Arial"/>
                <w:b/>
                <w:bCs/>
                <w:color w:val="000000"/>
                <w:sz w:val="18"/>
                <w:szCs w:val="18"/>
              </w:rPr>
            </w:pPr>
            <w:r w:rsidRPr="00751C3A">
              <w:rPr>
                <w:rFonts w:ascii="Arial" w:eastAsia="Times New Roman" w:hAnsi="Arial" w:cs="Arial"/>
                <w:b/>
                <w:bCs/>
                <w:color w:val="000000"/>
                <w:sz w:val="20"/>
                <w:szCs w:val="20"/>
              </w:rPr>
              <w:t>Aktivnost A100001 Sufinanciranje manifestacija</w:t>
            </w:r>
          </w:p>
        </w:tc>
        <w:tc>
          <w:tcPr>
            <w:tcW w:w="134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28.000,00</w:t>
            </w:r>
          </w:p>
        </w:tc>
        <w:tc>
          <w:tcPr>
            <w:tcW w:w="134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28.000,00</w:t>
            </w:r>
          </w:p>
        </w:tc>
        <w:tc>
          <w:tcPr>
            <w:tcW w:w="146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28.000,00</w:t>
            </w:r>
          </w:p>
        </w:tc>
      </w:tr>
      <w:tr w:rsidR="00001C6D" w:rsidRPr="00751C3A" w:rsidTr="00001C6D">
        <w:trPr>
          <w:trHeight w:val="255"/>
        </w:trPr>
        <w:tc>
          <w:tcPr>
            <w:tcW w:w="5245"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Međunarodni festival čipke</w:t>
            </w:r>
          </w:p>
        </w:tc>
        <w:tc>
          <w:tcPr>
            <w:tcW w:w="134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13.100,00</w:t>
            </w:r>
          </w:p>
        </w:tc>
        <w:tc>
          <w:tcPr>
            <w:tcW w:w="134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13.100,00</w:t>
            </w:r>
          </w:p>
        </w:tc>
        <w:tc>
          <w:tcPr>
            <w:tcW w:w="146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13.100,00</w:t>
            </w:r>
          </w:p>
        </w:tc>
      </w:tr>
      <w:tr w:rsidR="00001C6D" w:rsidRPr="00751C3A" w:rsidTr="00001C6D">
        <w:trPr>
          <w:trHeight w:val="255"/>
        </w:trPr>
        <w:tc>
          <w:tcPr>
            <w:tcW w:w="5245"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A100003 Advent</w:t>
            </w:r>
          </w:p>
        </w:tc>
        <w:tc>
          <w:tcPr>
            <w:tcW w:w="134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10.600,00</w:t>
            </w:r>
          </w:p>
        </w:tc>
        <w:tc>
          <w:tcPr>
            <w:tcW w:w="134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10.600,00</w:t>
            </w:r>
          </w:p>
        </w:tc>
        <w:tc>
          <w:tcPr>
            <w:tcW w:w="1460" w:type="dxa"/>
            <w:tcBorders>
              <w:top w:val="nil"/>
              <w:left w:val="nil"/>
              <w:bottom w:val="nil"/>
              <w:right w:val="nil"/>
            </w:tcBorders>
            <w:shd w:val="clear" w:color="000000" w:fill="CCCCFF"/>
            <w:noWrap/>
            <w:vAlign w:val="bottom"/>
            <w:hideMark/>
          </w:tcPr>
          <w:p w:rsidR="00001C6D" w:rsidRPr="00751C3A" w:rsidRDefault="00001C6D" w:rsidP="00001C6D">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10.600,00</w:t>
            </w:r>
          </w:p>
        </w:tc>
      </w:tr>
    </w:tbl>
    <w:p w:rsidR="00001C6D" w:rsidRPr="00751C3A" w:rsidRDefault="0066177B" w:rsidP="003B2352">
      <w:pPr>
        <w:spacing w:after="0"/>
        <w:jc w:val="both"/>
      </w:pPr>
      <w:r w:rsidRPr="00751C3A">
        <w:t>Cilj: zaštita materijalne i nematerijalne kulturno-povijesne baštine i njezinu valorizaciju i promociju kako bi bila dostupnija cjelokupnom društvu</w:t>
      </w:r>
    </w:p>
    <w:p w:rsidR="00427CBE" w:rsidRPr="00751C3A" w:rsidRDefault="00427CBE" w:rsidP="001F7A5F">
      <w:pPr>
        <w:spacing w:after="0"/>
        <w:jc w:val="both"/>
      </w:pPr>
      <w:r w:rsidRPr="00751C3A">
        <w:t>Pokazatelji: broj posjetitelja ustanova u kulturi i kulturnih manifestacija na području JLS</w:t>
      </w:r>
    </w:p>
    <w:tbl>
      <w:tblPr>
        <w:tblW w:w="9331" w:type="dxa"/>
        <w:tblLook w:val="04A0" w:firstRow="1" w:lastRow="0" w:firstColumn="1" w:lastColumn="0" w:noHBand="0" w:noVBand="1"/>
      </w:tblPr>
      <w:tblGrid>
        <w:gridCol w:w="5103"/>
        <w:gridCol w:w="1384"/>
        <w:gridCol w:w="1384"/>
        <w:gridCol w:w="1460"/>
      </w:tblGrid>
      <w:tr w:rsidR="001F7A5F" w:rsidRPr="00751C3A" w:rsidTr="00201DC9">
        <w:trPr>
          <w:trHeight w:val="255"/>
        </w:trPr>
        <w:tc>
          <w:tcPr>
            <w:tcW w:w="5103" w:type="dxa"/>
            <w:tcBorders>
              <w:top w:val="nil"/>
              <w:left w:val="nil"/>
              <w:bottom w:val="nil"/>
              <w:right w:val="nil"/>
            </w:tcBorders>
            <w:shd w:val="clear" w:color="000000" w:fill="000080"/>
            <w:noWrap/>
            <w:vAlign w:val="bottom"/>
          </w:tcPr>
          <w:p w:rsidR="001F7A5F" w:rsidRPr="00751C3A" w:rsidRDefault="001F7A5F" w:rsidP="00001C6D">
            <w:pPr>
              <w:spacing w:after="0" w:line="240" w:lineRule="auto"/>
              <w:rPr>
                <w:rFonts w:ascii="Arial" w:eastAsia="Times New Roman" w:hAnsi="Arial" w:cs="Arial"/>
                <w:b/>
                <w:bCs/>
                <w:color w:val="FFFFFF"/>
                <w:sz w:val="20"/>
                <w:szCs w:val="20"/>
              </w:rPr>
            </w:pPr>
          </w:p>
        </w:tc>
        <w:tc>
          <w:tcPr>
            <w:tcW w:w="1384" w:type="dxa"/>
            <w:tcBorders>
              <w:top w:val="nil"/>
              <w:left w:val="nil"/>
              <w:bottom w:val="nil"/>
              <w:right w:val="nil"/>
            </w:tcBorders>
            <w:shd w:val="clear" w:color="000000" w:fill="000080"/>
            <w:noWrap/>
            <w:vAlign w:val="bottom"/>
          </w:tcPr>
          <w:p w:rsidR="001F7A5F" w:rsidRPr="00751C3A" w:rsidRDefault="001F7A5F" w:rsidP="00001C6D">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2023</w:t>
            </w:r>
          </w:p>
        </w:tc>
        <w:tc>
          <w:tcPr>
            <w:tcW w:w="1384" w:type="dxa"/>
            <w:tcBorders>
              <w:top w:val="nil"/>
              <w:left w:val="nil"/>
              <w:bottom w:val="nil"/>
              <w:right w:val="nil"/>
            </w:tcBorders>
            <w:shd w:val="clear" w:color="000000" w:fill="000080"/>
            <w:noWrap/>
            <w:vAlign w:val="bottom"/>
          </w:tcPr>
          <w:p w:rsidR="001F7A5F" w:rsidRPr="00751C3A" w:rsidRDefault="001F7A5F" w:rsidP="00001C6D">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2024</w:t>
            </w:r>
          </w:p>
        </w:tc>
        <w:tc>
          <w:tcPr>
            <w:tcW w:w="1460" w:type="dxa"/>
            <w:tcBorders>
              <w:top w:val="nil"/>
              <w:left w:val="nil"/>
              <w:bottom w:val="nil"/>
              <w:right w:val="nil"/>
            </w:tcBorders>
            <w:shd w:val="clear" w:color="000000" w:fill="000080"/>
            <w:noWrap/>
            <w:vAlign w:val="bottom"/>
          </w:tcPr>
          <w:p w:rsidR="001F7A5F" w:rsidRPr="00751C3A" w:rsidRDefault="001F7A5F" w:rsidP="00001C6D">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2025</w:t>
            </w:r>
          </w:p>
        </w:tc>
      </w:tr>
      <w:tr w:rsidR="00001C6D" w:rsidRPr="00751C3A" w:rsidTr="00201DC9">
        <w:trPr>
          <w:trHeight w:val="255"/>
        </w:trPr>
        <w:tc>
          <w:tcPr>
            <w:tcW w:w="5103" w:type="dxa"/>
            <w:tcBorders>
              <w:top w:val="nil"/>
              <w:left w:val="nil"/>
              <w:bottom w:val="nil"/>
              <w:right w:val="nil"/>
            </w:tcBorders>
            <w:shd w:val="clear" w:color="000000" w:fill="000080"/>
            <w:noWrap/>
            <w:vAlign w:val="bottom"/>
            <w:hideMark/>
          </w:tcPr>
          <w:p w:rsidR="00001C6D" w:rsidRPr="00751C3A" w:rsidRDefault="00001C6D" w:rsidP="00001C6D">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Razdjel 002 URED GRADA</w:t>
            </w:r>
          </w:p>
        </w:tc>
        <w:tc>
          <w:tcPr>
            <w:tcW w:w="1384" w:type="dxa"/>
            <w:tcBorders>
              <w:top w:val="nil"/>
              <w:left w:val="nil"/>
              <w:bottom w:val="nil"/>
              <w:right w:val="nil"/>
            </w:tcBorders>
            <w:shd w:val="clear" w:color="000000" w:fill="000080"/>
            <w:noWrap/>
            <w:vAlign w:val="bottom"/>
            <w:hideMark/>
          </w:tcPr>
          <w:p w:rsidR="00001C6D" w:rsidRPr="00751C3A" w:rsidRDefault="00001C6D" w:rsidP="00001C6D">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2.045.500,00</w:t>
            </w:r>
          </w:p>
        </w:tc>
        <w:tc>
          <w:tcPr>
            <w:tcW w:w="1384" w:type="dxa"/>
            <w:tcBorders>
              <w:top w:val="nil"/>
              <w:left w:val="nil"/>
              <w:bottom w:val="nil"/>
              <w:right w:val="nil"/>
            </w:tcBorders>
            <w:shd w:val="clear" w:color="000000" w:fill="000080"/>
            <w:noWrap/>
            <w:vAlign w:val="bottom"/>
            <w:hideMark/>
          </w:tcPr>
          <w:p w:rsidR="00001C6D" w:rsidRPr="00751C3A" w:rsidRDefault="00001C6D" w:rsidP="00001C6D">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2.045.500,00</w:t>
            </w:r>
          </w:p>
        </w:tc>
        <w:tc>
          <w:tcPr>
            <w:tcW w:w="1460" w:type="dxa"/>
            <w:tcBorders>
              <w:top w:val="nil"/>
              <w:left w:val="nil"/>
              <w:bottom w:val="nil"/>
              <w:right w:val="nil"/>
            </w:tcBorders>
            <w:shd w:val="clear" w:color="000000" w:fill="000080"/>
            <w:noWrap/>
            <w:vAlign w:val="bottom"/>
            <w:hideMark/>
          </w:tcPr>
          <w:p w:rsidR="00001C6D" w:rsidRPr="00751C3A" w:rsidRDefault="00001C6D" w:rsidP="00001C6D">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2.045.500,00</w:t>
            </w:r>
          </w:p>
        </w:tc>
      </w:tr>
      <w:tr w:rsidR="00001C6D" w:rsidRPr="00751C3A" w:rsidTr="00201DC9">
        <w:trPr>
          <w:trHeight w:val="255"/>
        </w:trPr>
        <w:tc>
          <w:tcPr>
            <w:tcW w:w="5103" w:type="dxa"/>
            <w:tcBorders>
              <w:top w:val="nil"/>
              <w:left w:val="nil"/>
              <w:bottom w:val="nil"/>
              <w:right w:val="nil"/>
            </w:tcBorders>
            <w:shd w:val="clear" w:color="000000" w:fill="0000FF"/>
            <w:noWrap/>
            <w:vAlign w:val="bottom"/>
            <w:hideMark/>
          </w:tcPr>
          <w:p w:rsidR="00001C6D" w:rsidRPr="00751C3A" w:rsidRDefault="00001C6D" w:rsidP="00001C6D">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Glava 00201 URED GRADA</w:t>
            </w:r>
          </w:p>
        </w:tc>
        <w:tc>
          <w:tcPr>
            <w:tcW w:w="1384" w:type="dxa"/>
            <w:tcBorders>
              <w:top w:val="nil"/>
              <w:left w:val="nil"/>
              <w:bottom w:val="nil"/>
              <w:right w:val="nil"/>
            </w:tcBorders>
            <w:shd w:val="clear" w:color="000000" w:fill="0000FF"/>
            <w:noWrap/>
            <w:vAlign w:val="bottom"/>
            <w:hideMark/>
          </w:tcPr>
          <w:p w:rsidR="00001C6D" w:rsidRPr="00751C3A" w:rsidRDefault="00001C6D" w:rsidP="00001C6D">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647.000,00</w:t>
            </w:r>
          </w:p>
        </w:tc>
        <w:tc>
          <w:tcPr>
            <w:tcW w:w="1384" w:type="dxa"/>
            <w:tcBorders>
              <w:top w:val="nil"/>
              <w:left w:val="nil"/>
              <w:bottom w:val="nil"/>
              <w:right w:val="nil"/>
            </w:tcBorders>
            <w:shd w:val="clear" w:color="000000" w:fill="0000FF"/>
            <w:noWrap/>
            <w:vAlign w:val="bottom"/>
            <w:hideMark/>
          </w:tcPr>
          <w:p w:rsidR="00001C6D" w:rsidRPr="00751C3A" w:rsidRDefault="00001C6D" w:rsidP="00001C6D">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647.000,00</w:t>
            </w:r>
          </w:p>
        </w:tc>
        <w:tc>
          <w:tcPr>
            <w:tcW w:w="1460" w:type="dxa"/>
            <w:tcBorders>
              <w:top w:val="nil"/>
              <w:left w:val="nil"/>
              <w:bottom w:val="nil"/>
              <w:right w:val="nil"/>
            </w:tcBorders>
            <w:shd w:val="clear" w:color="000000" w:fill="0000FF"/>
            <w:noWrap/>
            <w:vAlign w:val="bottom"/>
            <w:hideMark/>
          </w:tcPr>
          <w:p w:rsidR="00001C6D" w:rsidRPr="00751C3A" w:rsidRDefault="00001C6D" w:rsidP="00001C6D">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647.000,00</w:t>
            </w:r>
          </w:p>
        </w:tc>
      </w:tr>
    </w:tbl>
    <w:p w:rsidR="000369CB" w:rsidRPr="00751C3A" w:rsidRDefault="000369CB" w:rsidP="000369CB">
      <w:pPr>
        <w:jc w:val="both"/>
        <w:rPr>
          <w:rFonts w:ascii="Calibri" w:hAnsi="Calibri"/>
          <w:sz w:val="22"/>
          <w:szCs w:val="22"/>
        </w:rPr>
      </w:pPr>
    </w:p>
    <w:tbl>
      <w:tblPr>
        <w:tblW w:w="9243" w:type="dxa"/>
        <w:tblLook w:val="04A0" w:firstRow="1" w:lastRow="0" w:firstColumn="1" w:lastColumn="0" w:noHBand="0" w:noVBand="1"/>
      </w:tblPr>
      <w:tblGrid>
        <w:gridCol w:w="5103"/>
        <w:gridCol w:w="1340"/>
        <w:gridCol w:w="1340"/>
        <w:gridCol w:w="1460"/>
      </w:tblGrid>
      <w:tr w:rsidR="001F7A5F" w:rsidRPr="00751C3A" w:rsidTr="00201DC9">
        <w:trPr>
          <w:trHeight w:val="255"/>
        </w:trPr>
        <w:tc>
          <w:tcPr>
            <w:tcW w:w="5103" w:type="dxa"/>
            <w:tcBorders>
              <w:top w:val="nil"/>
              <w:left w:val="nil"/>
              <w:bottom w:val="nil"/>
              <w:right w:val="nil"/>
            </w:tcBorders>
            <w:shd w:val="clear" w:color="000000" w:fill="9999FF"/>
            <w:noWrap/>
            <w:vAlign w:val="bottom"/>
          </w:tcPr>
          <w:p w:rsidR="001F7A5F" w:rsidRPr="00751C3A" w:rsidRDefault="001F7A5F"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1F7A5F" w:rsidRPr="00751C3A" w:rsidRDefault="001F7A5F"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1F7A5F" w:rsidRPr="00751C3A" w:rsidRDefault="001F7A5F"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1F7A5F" w:rsidRPr="00751C3A" w:rsidRDefault="001F7A5F"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1000 PRIPREMA I DONOŠENJE AKATA IZ DJELOKRUGA TIJELA</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293.000,00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293.000,00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293.000,00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Stručno, administrativno i tehničko osoblje</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293.000,00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293.000,00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293.000,00</w:t>
            </w:r>
          </w:p>
        </w:tc>
      </w:tr>
    </w:tbl>
    <w:p w:rsidR="00B935D6" w:rsidRPr="00751C3A" w:rsidRDefault="007C10C4" w:rsidP="000369CB">
      <w:pPr>
        <w:pStyle w:val="Tijeloteksta"/>
        <w:spacing w:after="0"/>
        <w:jc w:val="both"/>
      </w:pPr>
      <w:r w:rsidRPr="00751C3A">
        <w:t>Cilj: Osiguravanje nesmetanog obavljanja poslova kroz optimalni broj djelatnika gradske uprave radi zadovoljavanja potreba građana u okviru zakonom utvrđenih zadaća JLS. Provođenje politike plaća i drugih materijalnih prava zaposlenika u skladu s proračunskim mogućnostima te osiguravanje sredstava za nesmetano obavljanje upravnih, stručnih, administrativnih i ostalih poslova Odjela.</w:t>
      </w:r>
    </w:p>
    <w:p w:rsidR="00D62800" w:rsidRPr="00751C3A" w:rsidRDefault="007C10C4" w:rsidP="000369CB">
      <w:pPr>
        <w:pStyle w:val="Tijeloteksta"/>
        <w:spacing w:after="0"/>
        <w:jc w:val="both"/>
      </w:pPr>
      <w:r w:rsidRPr="00751C3A">
        <w:t>Pokazatelji: Ispunjavanje zakonskih obveza i obveza iz Pravilnika o radu, ispunjavanje obveza po posebnim propisima, redovito i nesmetano odvijanje pr</w:t>
      </w:r>
      <w:r w:rsidR="00D62800" w:rsidRPr="00751C3A">
        <w:t>ocesa rada upravnih tijela Grada</w:t>
      </w:r>
    </w:p>
    <w:p w:rsidR="00201DC9" w:rsidRPr="00751C3A" w:rsidRDefault="00201DC9" w:rsidP="000369CB">
      <w:pPr>
        <w:pStyle w:val="Tijeloteksta"/>
        <w:spacing w:after="0"/>
        <w:jc w:val="both"/>
      </w:pPr>
    </w:p>
    <w:tbl>
      <w:tblPr>
        <w:tblW w:w="9243" w:type="dxa"/>
        <w:tblLook w:val="04A0" w:firstRow="1" w:lastRow="0" w:firstColumn="1" w:lastColumn="0" w:noHBand="0" w:noVBand="1"/>
      </w:tblPr>
      <w:tblGrid>
        <w:gridCol w:w="5103"/>
        <w:gridCol w:w="1340"/>
        <w:gridCol w:w="1340"/>
        <w:gridCol w:w="1460"/>
      </w:tblGrid>
      <w:tr w:rsidR="00AC0B0F" w:rsidRPr="00751C3A" w:rsidTr="00201DC9">
        <w:trPr>
          <w:trHeight w:val="255"/>
        </w:trPr>
        <w:tc>
          <w:tcPr>
            <w:tcW w:w="5103" w:type="dxa"/>
            <w:tcBorders>
              <w:top w:val="nil"/>
              <w:left w:val="nil"/>
              <w:bottom w:val="nil"/>
              <w:right w:val="nil"/>
            </w:tcBorders>
            <w:shd w:val="clear" w:color="000000" w:fill="9999FF"/>
            <w:noWrap/>
            <w:vAlign w:val="bottom"/>
          </w:tcPr>
          <w:p w:rsidR="00AC0B0F" w:rsidRPr="00751C3A" w:rsidRDefault="00AC0B0F"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AC0B0F" w:rsidRPr="00751C3A" w:rsidRDefault="00AC0B0F"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AC0B0F" w:rsidRPr="00751C3A" w:rsidRDefault="00AC0B0F"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AC0B0F" w:rsidRPr="00751C3A" w:rsidRDefault="00AC0B0F"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1001 OSTALI RASHODI GRADA</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64.300,00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64.300,00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64.300,00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Ostali rashodi po posebnim aktima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18.700,00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18.700,00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18.700,00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Sufinanciranje rada djelatnika i  ustanova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15.000,00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15.000,00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15.000,00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A100003 Izrada strateških dokumenata i elaborata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30.600,00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30.600,00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30.600,00</w:t>
            </w:r>
          </w:p>
        </w:tc>
      </w:tr>
    </w:tbl>
    <w:p w:rsidR="00201DC9" w:rsidRPr="00751C3A" w:rsidRDefault="00791F35" w:rsidP="000369CB">
      <w:pPr>
        <w:pStyle w:val="Tijeloteksta"/>
        <w:spacing w:after="0"/>
        <w:jc w:val="both"/>
      </w:pPr>
      <w:r w:rsidRPr="00751C3A">
        <w:t>Cilj: Zadovoljenje potreba stanovništva kroz sufinanciranje potrebne radne snage u drugim ustanovama; izrada potrebnih strateških dokumenata</w:t>
      </w:r>
    </w:p>
    <w:p w:rsidR="00391C43" w:rsidRPr="00751C3A" w:rsidRDefault="00391C43" w:rsidP="000369CB">
      <w:pPr>
        <w:pStyle w:val="Tijeloteksta"/>
        <w:spacing w:after="0"/>
        <w:jc w:val="both"/>
      </w:pPr>
      <w:r w:rsidRPr="00751C3A">
        <w:t>Pokazatelji: broj sufinanciranih zaposlenika; broj donesenih strateških dokumenata</w:t>
      </w:r>
    </w:p>
    <w:p w:rsidR="00201DC9" w:rsidRPr="00751C3A" w:rsidRDefault="00201DC9" w:rsidP="000369CB">
      <w:pPr>
        <w:pStyle w:val="Tijeloteksta"/>
        <w:spacing w:after="0"/>
        <w:jc w:val="both"/>
        <w:rPr>
          <w:sz w:val="22"/>
          <w:szCs w:val="22"/>
        </w:rPr>
      </w:pPr>
    </w:p>
    <w:tbl>
      <w:tblPr>
        <w:tblW w:w="9243" w:type="dxa"/>
        <w:tblLook w:val="04A0" w:firstRow="1" w:lastRow="0" w:firstColumn="1" w:lastColumn="0" w:noHBand="0" w:noVBand="1"/>
      </w:tblPr>
      <w:tblGrid>
        <w:gridCol w:w="5103"/>
        <w:gridCol w:w="1340"/>
        <w:gridCol w:w="1340"/>
        <w:gridCol w:w="1460"/>
      </w:tblGrid>
      <w:tr w:rsidR="00AC0B0F" w:rsidRPr="00751C3A" w:rsidTr="00201DC9">
        <w:trPr>
          <w:trHeight w:val="255"/>
        </w:trPr>
        <w:tc>
          <w:tcPr>
            <w:tcW w:w="5103" w:type="dxa"/>
            <w:tcBorders>
              <w:top w:val="nil"/>
              <w:left w:val="nil"/>
              <w:bottom w:val="nil"/>
              <w:right w:val="nil"/>
            </w:tcBorders>
            <w:shd w:val="clear" w:color="000000" w:fill="9999FF"/>
            <w:noWrap/>
            <w:vAlign w:val="bottom"/>
          </w:tcPr>
          <w:p w:rsidR="00AC0B0F" w:rsidRPr="00751C3A" w:rsidRDefault="00AC0B0F"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AC0B0F" w:rsidRPr="00751C3A" w:rsidRDefault="00AC0B0F"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AC0B0F" w:rsidRPr="00751C3A" w:rsidRDefault="00AC0B0F"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AC0B0F" w:rsidRPr="00751C3A" w:rsidRDefault="00AC0B0F"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1003 NABAVA I ODRŽAVANJE OPREME</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97.500,00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97.500,00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97.500,00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Od</w:t>
            </w:r>
            <w:r w:rsidR="00751C3A">
              <w:rPr>
                <w:rFonts w:ascii="Arial" w:eastAsia="Times New Roman" w:hAnsi="Arial" w:cs="Arial"/>
                <w:b/>
                <w:bCs/>
                <w:color w:val="000000"/>
                <w:sz w:val="20"/>
                <w:szCs w:val="20"/>
              </w:rPr>
              <w:t>r</w:t>
            </w:r>
            <w:r w:rsidRPr="00751C3A">
              <w:rPr>
                <w:rFonts w:ascii="Arial" w:eastAsia="Times New Roman" w:hAnsi="Arial" w:cs="Arial"/>
                <w:b/>
                <w:bCs/>
                <w:color w:val="000000"/>
                <w:sz w:val="20"/>
                <w:szCs w:val="20"/>
              </w:rPr>
              <w:t>žavanje opreme i programa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45.100,00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45.100,00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45.100,00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K100001 Računalna i druga oprema i programi</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37.100,00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37.100,00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37.100,00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K100002 Uredska oprema i namještaj</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12.000,00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12.000,00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12.000,00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K100003 Umjetnička djela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w:t>
            </w:r>
          </w:p>
        </w:tc>
      </w:tr>
    </w:tbl>
    <w:p w:rsidR="00201DC9" w:rsidRPr="00751C3A" w:rsidRDefault="00AC0B0F" w:rsidP="000369CB">
      <w:pPr>
        <w:pStyle w:val="Tijeloteksta"/>
        <w:spacing w:after="0"/>
        <w:jc w:val="both"/>
      </w:pPr>
      <w:r w:rsidRPr="00751C3A">
        <w:t xml:space="preserve">Cilj: nabava i održavanje opreme za rad gradske uprave </w:t>
      </w:r>
    </w:p>
    <w:p w:rsidR="00201DC9" w:rsidRPr="00751C3A" w:rsidRDefault="00AC0B0F" w:rsidP="000369CB">
      <w:pPr>
        <w:pStyle w:val="Tijeloteksta"/>
        <w:spacing w:after="0"/>
        <w:jc w:val="both"/>
      </w:pPr>
      <w:r w:rsidRPr="00751C3A">
        <w:t xml:space="preserve">Pokazatelji: broj komada novonabavljene opreme, </w:t>
      </w:r>
    </w:p>
    <w:p w:rsidR="00201DC9" w:rsidRPr="00751C3A" w:rsidRDefault="00201DC9" w:rsidP="000369CB">
      <w:pPr>
        <w:pStyle w:val="Tijeloteksta"/>
        <w:spacing w:after="0"/>
        <w:jc w:val="both"/>
        <w:rPr>
          <w:sz w:val="22"/>
          <w:szCs w:val="22"/>
        </w:rPr>
      </w:pPr>
    </w:p>
    <w:tbl>
      <w:tblPr>
        <w:tblW w:w="9243" w:type="dxa"/>
        <w:tblLook w:val="04A0" w:firstRow="1" w:lastRow="0" w:firstColumn="1" w:lastColumn="0" w:noHBand="0" w:noVBand="1"/>
      </w:tblPr>
      <w:tblGrid>
        <w:gridCol w:w="5103"/>
        <w:gridCol w:w="1340"/>
        <w:gridCol w:w="1340"/>
        <w:gridCol w:w="1460"/>
      </w:tblGrid>
      <w:tr w:rsidR="00391C43" w:rsidRPr="00751C3A" w:rsidTr="00201DC9">
        <w:trPr>
          <w:trHeight w:val="255"/>
        </w:trPr>
        <w:tc>
          <w:tcPr>
            <w:tcW w:w="5103"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1014 ZAŠTITA I SPAŠAVANJE</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48.200,00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48.200,00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48.200,00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Unapređenje dobrovoljnog vatrogastva i zaštite od požara - DVD Pag</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26.500,00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26.500,00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26.500,00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Izrada planova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4.100,00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4.100,00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4.100,00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A100004 Gorska služba spašavanja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A100005 Aktivnost Civilne zaštite</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7.300,00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7.300,00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7.300,00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A100006 Djelatnost Crvenog križa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9.000,00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9.000,00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9.000,00</w:t>
            </w:r>
          </w:p>
        </w:tc>
      </w:tr>
    </w:tbl>
    <w:p w:rsidR="00201DC9" w:rsidRPr="00751C3A" w:rsidRDefault="004D2AA4" w:rsidP="000369CB">
      <w:pPr>
        <w:pStyle w:val="Tijeloteksta"/>
        <w:spacing w:after="0"/>
        <w:jc w:val="both"/>
      </w:pPr>
      <w:r w:rsidRPr="00751C3A">
        <w:t>Cilj: jačanje kapaciteta i poboljšanje opremljenosti vatrogasne i civilne zaštite što pridonosi sigurnosti i otpornosti Grada Paga te izravno utječe na kvalitetu života, kao i uvjete razvoja Grada</w:t>
      </w:r>
    </w:p>
    <w:p w:rsidR="00201DC9" w:rsidRPr="00751C3A" w:rsidRDefault="004D2AA4" w:rsidP="000369CB">
      <w:pPr>
        <w:pStyle w:val="Tijeloteksta"/>
        <w:spacing w:after="0"/>
        <w:jc w:val="both"/>
      </w:pPr>
      <w:r w:rsidRPr="00751C3A">
        <w:t>Pokazatelji: rashodi za civilnu zaštitu, po stanovniku, broj članova operativnih snaga civilne zaštite</w:t>
      </w:r>
    </w:p>
    <w:p w:rsidR="00201DC9" w:rsidRPr="00751C3A" w:rsidRDefault="00201DC9" w:rsidP="000369CB">
      <w:pPr>
        <w:pStyle w:val="Tijeloteksta"/>
        <w:spacing w:after="0"/>
        <w:jc w:val="both"/>
      </w:pPr>
    </w:p>
    <w:tbl>
      <w:tblPr>
        <w:tblW w:w="9243" w:type="dxa"/>
        <w:tblLook w:val="04A0" w:firstRow="1" w:lastRow="0" w:firstColumn="1" w:lastColumn="0" w:noHBand="0" w:noVBand="1"/>
      </w:tblPr>
      <w:tblGrid>
        <w:gridCol w:w="5103"/>
        <w:gridCol w:w="1340"/>
        <w:gridCol w:w="1340"/>
        <w:gridCol w:w="1460"/>
      </w:tblGrid>
      <w:tr w:rsidR="00391C43" w:rsidRPr="00751C3A" w:rsidTr="00201DC9">
        <w:trPr>
          <w:trHeight w:val="255"/>
        </w:trPr>
        <w:tc>
          <w:tcPr>
            <w:tcW w:w="5103"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1015 SOCIJALNA SKRB</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43.600,00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43.600,00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43.600,00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Pomoć za podmirenje troškova stanovanja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22.600,00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22.600,00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22.600,00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Pomoći pojedincima i obiteljima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21.000,00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21.000,00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21.000,00</w:t>
            </w:r>
          </w:p>
        </w:tc>
      </w:tr>
    </w:tbl>
    <w:p w:rsidR="00201DC9" w:rsidRPr="00751C3A" w:rsidRDefault="00427CBE" w:rsidP="000369CB">
      <w:pPr>
        <w:pStyle w:val="Tijeloteksta"/>
        <w:spacing w:after="0"/>
        <w:jc w:val="both"/>
      </w:pPr>
      <w:r w:rsidRPr="00751C3A">
        <w:t>Cilj: povećanje kvalitete i dostupnosti zdravstvene zaštite te socijalne skrbi, kao preduvjeta za unaprjeđenje kvalitete života u Gradu Pagu</w:t>
      </w:r>
    </w:p>
    <w:p w:rsidR="00201DC9" w:rsidRPr="00751C3A" w:rsidRDefault="004D2AA4" w:rsidP="000369CB">
      <w:pPr>
        <w:pStyle w:val="Tijeloteksta"/>
        <w:spacing w:after="0"/>
        <w:jc w:val="both"/>
      </w:pPr>
      <w:r w:rsidRPr="00751C3A">
        <w:t xml:space="preserve">Pokazatelji: Rashodi za socijalnu zaštitu JLS, po stanovniku, </w:t>
      </w:r>
    </w:p>
    <w:p w:rsidR="00201DC9" w:rsidRPr="00751C3A" w:rsidRDefault="00201DC9" w:rsidP="000369CB">
      <w:pPr>
        <w:pStyle w:val="Tijeloteksta"/>
        <w:spacing w:after="0"/>
        <w:jc w:val="both"/>
      </w:pPr>
    </w:p>
    <w:tbl>
      <w:tblPr>
        <w:tblW w:w="9243" w:type="dxa"/>
        <w:tblLook w:val="04A0" w:firstRow="1" w:lastRow="0" w:firstColumn="1" w:lastColumn="0" w:noHBand="0" w:noVBand="1"/>
      </w:tblPr>
      <w:tblGrid>
        <w:gridCol w:w="5103"/>
        <w:gridCol w:w="1340"/>
        <w:gridCol w:w="1340"/>
        <w:gridCol w:w="1460"/>
      </w:tblGrid>
      <w:tr w:rsidR="00391C43" w:rsidRPr="00751C3A" w:rsidTr="00201DC9">
        <w:trPr>
          <w:trHeight w:val="255"/>
        </w:trPr>
        <w:tc>
          <w:tcPr>
            <w:tcW w:w="5103"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1016 OČUVANJE I UNAPREĐENJE ZDRAVLJA</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8.000,00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8.000,00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8.000,00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A100003 Program prevencije ovisnosti</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A100004 Meteorološka mjerenja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lastRenderedPageBreak/>
              <w:t>Aktivnost A100005 Rad timova hitne medicinske pomoći</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w:t>
            </w:r>
          </w:p>
        </w:tc>
      </w:tr>
    </w:tbl>
    <w:p w:rsidR="00201DC9" w:rsidRPr="00751C3A" w:rsidRDefault="00427CBE" w:rsidP="000369CB">
      <w:pPr>
        <w:pStyle w:val="Tijeloteksta"/>
        <w:spacing w:after="0"/>
        <w:jc w:val="both"/>
      </w:pPr>
      <w:r w:rsidRPr="00751C3A">
        <w:t>Cilj: povećanje kvalitete i dostupnosti zdravstvene zaštite te socijalne skrbi, kao preduvjeta za unaprjeđenje kvalitete života u Gradu Pagu</w:t>
      </w:r>
    </w:p>
    <w:p w:rsidR="00201DC9" w:rsidRPr="00751C3A" w:rsidRDefault="00427CBE" w:rsidP="000369CB">
      <w:pPr>
        <w:pStyle w:val="Tijeloteksta"/>
        <w:spacing w:after="0"/>
        <w:jc w:val="both"/>
      </w:pPr>
      <w:r w:rsidRPr="00751C3A">
        <w:t>Pokazatelji: Rashodi za z</w:t>
      </w:r>
      <w:r w:rsidR="004D2AA4" w:rsidRPr="00751C3A">
        <w:t>dravstvo JLS, po stanovniku</w:t>
      </w:r>
    </w:p>
    <w:tbl>
      <w:tblPr>
        <w:tblW w:w="9243" w:type="dxa"/>
        <w:tblLook w:val="04A0" w:firstRow="1" w:lastRow="0" w:firstColumn="1" w:lastColumn="0" w:noHBand="0" w:noVBand="1"/>
      </w:tblPr>
      <w:tblGrid>
        <w:gridCol w:w="5103"/>
        <w:gridCol w:w="1340"/>
        <w:gridCol w:w="1340"/>
        <w:gridCol w:w="1460"/>
      </w:tblGrid>
      <w:tr w:rsidR="00391C43" w:rsidRPr="00751C3A" w:rsidTr="00201DC9">
        <w:trPr>
          <w:trHeight w:val="255"/>
        </w:trPr>
        <w:tc>
          <w:tcPr>
            <w:tcW w:w="5103"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1017 DEMOGRAFSKA OBNOVA</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41.300,00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41.300,00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41.300,00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Naknade obiteljima za novorođenu djecu te četvoro i više djece</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Sufinanciranje boravka djece u vrtiću</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r>
    </w:tbl>
    <w:p w:rsidR="00201DC9" w:rsidRPr="00751C3A" w:rsidRDefault="004D2AA4" w:rsidP="000369CB">
      <w:pPr>
        <w:pStyle w:val="Tijeloteksta"/>
        <w:spacing w:after="0"/>
        <w:jc w:val="both"/>
      </w:pPr>
      <w:r w:rsidRPr="00751C3A">
        <w:t>Cilj: Uslijed negativnih demografskih trendova, iseljavanja, osobito mlađe populacije, te starenja stanovništva, razvijena je ova mjera čiji je cilj ublažavanje negativnih trendova, revitalizacija i poboljšanje položaja obitelji i mladih</w:t>
      </w:r>
    </w:p>
    <w:p w:rsidR="004D2AA4" w:rsidRPr="00751C3A" w:rsidRDefault="004D2AA4" w:rsidP="000369CB">
      <w:pPr>
        <w:pStyle w:val="Tijeloteksta"/>
        <w:spacing w:after="0"/>
        <w:jc w:val="both"/>
      </w:pPr>
      <w:r w:rsidRPr="00751C3A">
        <w:t>Pokazatelji: Iznos isplaćenih potpora za novorođenu djecu</w:t>
      </w:r>
    </w:p>
    <w:p w:rsidR="00201DC9" w:rsidRPr="00751C3A" w:rsidRDefault="00201DC9" w:rsidP="000369CB">
      <w:pPr>
        <w:pStyle w:val="Tijeloteksta"/>
        <w:spacing w:after="0"/>
        <w:jc w:val="both"/>
      </w:pPr>
    </w:p>
    <w:tbl>
      <w:tblPr>
        <w:tblW w:w="9243" w:type="dxa"/>
        <w:tblLook w:val="04A0" w:firstRow="1" w:lastRow="0" w:firstColumn="1" w:lastColumn="0" w:noHBand="0" w:noVBand="1"/>
      </w:tblPr>
      <w:tblGrid>
        <w:gridCol w:w="5103"/>
        <w:gridCol w:w="1340"/>
        <w:gridCol w:w="1340"/>
        <w:gridCol w:w="1460"/>
      </w:tblGrid>
      <w:tr w:rsidR="00391C43" w:rsidRPr="00751C3A" w:rsidTr="00201DC9">
        <w:trPr>
          <w:trHeight w:val="255"/>
        </w:trPr>
        <w:tc>
          <w:tcPr>
            <w:tcW w:w="5103"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1018 SUFINANCIRANJE ŠKOLSTVA</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51.100,00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51.100,00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51.100,00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Stipendije</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19.900,00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19.900,00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19.900,00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Sufinanciranje javnog prijevoza srednjoškolaca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6.000,00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6.000,00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6.000,00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A100003 Sufinanciranje kupnje školskih knjiga i pribora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6.600,00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6.600,00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6.600,00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A100004 Produženi boravak učenika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18.600,00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18.600,00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18.600,00</w:t>
            </w:r>
          </w:p>
        </w:tc>
      </w:tr>
    </w:tbl>
    <w:p w:rsidR="00201DC9" w:rsidRPr="00751C3A" w:rsidRDefault="00427CBE" w:rsidP="000369CB">
      <w:pPr>
        <w:pStyle w:val="Tijeloteksta"/>
        <w:spacing w:after="0"/>
        <w:jc w:val="both"/>
      </w:pPr>
      <w:r w:rsidRPr="00751C3A">
        <w:t>Cilj: povećati dostupnost te osigurati kvalitetnije uvjete u provedbi odgojno- obrazovnog procesa u sustavu predškolskog i školskog programa</w:t>
      </w:r>
    </w:p>
    <w:p w:rsidR="00201DC9" w:rsidRPr="00751C3A" w:rsidRDefault="00427CBE" w:rsidP="000369CB">
      <w:pPr>
        <w:pStyle w:val="Tijeloteksta"/>
        <w:spacing w:after="0"/>
        <w:jc w:val="both"/>
      </w:pPr>
      <w:r w:rsidRPr="00751C3A">
        <w:t>Pokazatelji: Rashodi za odgojno obrazovn</w:t>
      </w:r>
      <w:r w:rsidR="004D2AA4" w:rsidRPr="00751C3A">
        <w:t>i sustav JLS, po stanovniku</w:t>
      </w:r>
      <w:r w:rsidRPr="00751C3A">
        <w:t>, broj učenika</w:t>
      </w:r>
    </w:p>
    <w:p w:rsidR="00201DC9" w:rsidRPr="00751C3A" w:rsidRDefault="00201DC9" w:rsidP="000369CB">
      <w:pPr>
        <w:pStyle w:val="Tijeloteksta"/>
        <w:spacing w:after="0"/>
        <w:jc w:val="both"/>
      </w:pPr>
    </w:p>
    <w:tbl>
      <w:tblPr>
        <w:tblW w:w="9385" w:type="dxa"/>
        <w:tblLook w:val="04A0" w:firstRow="1" w:lastRow="0" w:firstColumn="1" w:lastColumn="0" w:noHBand="0" w:noVBand="1"/>
      </w:tblPr>
      <w:tblGrid>
        <w:gridCol w:w="5245"/>
        <w:gridCol w:w="1340"/>
        <w:gridCol w:w="1340"/>
        <w:gridCol w:w="1460"/>
      </w:tblGrid>
      <w:tr w:rsidR="00391C43" w:rsidRPr="00751C3A" w:rsidTr="00201DC9">
        <w:trPr>
          <w:trHeight w:val="255"/>
        </w:trPr>
        <w:tc>
          <w:tcPr>
            <w:tcW w:w="5245" w:type="dxa"/>
            <w:tcBorders>
              <w:top w:val="nil"/>
              <w:left w:val="nil"/>
              <w:bottom w:val="nil"/>
              <w:right w:val="nil"/>
            </w:tcBorders>
            <w:shd w:val="clear" w:color="000000" w:fill="0000FF"/>
            <w:noWrap/>
            <w:vAlign w:val="bottom"/>
          </w:tcPr>
          <w:p w:rsidR="00391C43" w:rsidRPr="00751C3A" w:rsidRDefault="00391C43" w:rsidP="00201DC9">
            <w:pPr>
              <w:spacing w:after="0" w:line="240" w:lineRule="auto"/>
              <w:rPr>
                <w:rFonts w:ascii="Arial" w:eastAsia="Times New Roman" w:hAnsi="Arial" w:cs="Arial"/>
                <w:b/>
                <w:bCs/>
                <w:color w:val="FFFFFF"/>
                <w:sz w:val="20"/>
                <w:szCs w:val="20"/>
              </w:rPr>
            </w:pPr>
          </w:p>
        </w:tc>
        <w:tc>
          <w:tcPr>
            <w:tcW w:w="1340" w:type="dxa"/>
            <w:tcBorders>
              <w:top w:val="nil"/>
              <w:left w:val="nil"/>
              <w:bottom w:val="nil"/>
              <w:right w:val="nil"/>
            </w:tcBorders>
            <w:shd w:val="clear" w:color="000000" w:fill="0000FF"/>
            <w:noWrap/>
            <w:vAlign w:val="bottom"/>
          </w:tcPr>
          <w:p w:rsidR="00391C43" w:rsidRPr="00751C3A" w:rsidRDefault="00391C43"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2023</w:t>
            </w:r>
          </w:p>
        </w:tc>
        <w:tc>
          <w:tcPr>
            <w:tcW w:w="1340" w:type="dxa"/>
            <w:tcBorders>
              <w:top w:val="nil"/>
              <w:left w:val="nil"/>
              <w:bottom w:val="nil"/>
              <w:right w:val="nil"/>
            </w:tcBorders>
            <w:shd w:val="clear" w:color="000000" w:fill="0000FF"/>
            <w:noWrap/>
            <w:vAlign w:val="bottom"/>
          </w:tcPr>
          <w:p w:rsidR="00391C43" w:rsidRPr="00751C3A" w:rsidRDefault="00391C43"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2024</w:t>
            </w:r>
          </w:p>
        </w:tc>
        <w:tc>
          <w:tcPr>
            <w:tcW w:w="1460" w:type="dxa"/>
            <w:tcBorders>
              <w:top w:val="nil"/>
              <w:left w:val="nil"/>
              <w:bottom w:val="nil"/>
              <w:right w:val="nil"/>
            </w:tcBorders>
            <w:shd w:val="clear" w:color="000000" w:fill="0000FF"/>
            <w:noWrap/>
            <w:vAlign w:val="bottom"/>
          </w:tcPr>
          <w:p w:rsidR="00391C43" w:rsidRPr="00751C3A" w:rsidRDefault="00391C43"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2025</w:t>
            </w:r>
          </w:p>
        </w:tc>
      </w:tr>
      <w:tr w:rsidR="00201DC9" w:rsidRPr="00751C3A" w:rsidTr="00201DC9">
        <w:trPr>
          <w:trHeight w:val="255"/>
        </w:trPr>
        <w:tc>
          <w:tcPr>
            <w:tcW w:w="5245"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Glava 00202 DJEČJI VRTIĆ "PAŠKI MALIŠANI" PAG</w:t>
            </w:r>
          </w:p>
        </w:tc>
        <w:tc>
          <w:tcPr>
            <w:tcW w:w="1340"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865.900,00</w:t>
            </w:r>
          </w:p>
        </w:tc>
        <w:tc>
          <w:tcPr>
            <w:tcW w:w="1340"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865.900,00</w:t>
            </w:r>
          </w:p>
        </w:tc>
        <w:tc>
          <w:tcPr>
            <w:tcW w:w="1460"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865.900,00</w:t>
            </w:r>
          </w:p>
        </w:tc>
      </w:tr>
    </w:tbl>
    <w:p w:rsidR="00201DC9" w:rsidRPr="00751C3A" w:rsidRDefault="00201DC9" w:rsidP="000369CB">
      <w:pPr>
        <w:pStyle w:val="Tijeloteksta"/>
        <w:spacing w:after="0"/>
        <w:jc w:val="both"/>
      </w:pPr>
    </w:p>
    <w:tbl>
      <w:tblPr>
        <w:tblW w:w="9243" w:type="dxa"/>
        <w:tblLook w:val="04A0" w:firstRow="1" w:lastRow="0" w:firstColumn="1" w:lastColumn="0" w:noHBand="0" w:noVBand="1"/>
      </w:tblPr>
      <w:tblGrid>
        <w:gridCol w:w="5103"/>
        <w:gridCol w:w="1340"/>
        <w:gridCol w:w="1340"/>
        <w:gridCol w:w="1460"/>
      </w:tblGrid>
      <w:tr w:rsidR="00391C43" w:rsidRPr="00751C3A" w:rsidTr="00201DC9">
        <w:trPr>
          <w:trHeight w:val="255"/>
        </w:trPr>
        <w:tc>
          <w:tcPr>
            <w:tcW w:w="5103"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1000 PROVEDBA ZAKONSKOG STANDARDA U PREDŠKOLSTVU</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409.500,00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409.500,00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409.500,00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Odgojno, administrativno i tehničko osoblje</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409.500,00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409.500,00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409.500,00</w:t>
            </w:r>
          </w:p>
        </w:tc>
      </w:tr>
    </w:tbl>
    <w:p w:rsidR="004D2AA4" w:rsidRPr="00751C3A" w:rsidRDefault="004D2AA4" w:rsidP="004D2AA4">
      <w:pPr>
        <w:pStyle w:val="Tijeloteksta"/>
        <w:spacing w:after="0"/>
        <w:jc w:val="both"/>
      </w:pPr>
      <w:r w:rsidRPr="00751C3A">
        <w:t>Cilj: povećati dostupnost te osigurati kvalitetnije uvjete u provedbi odgojno- obrazovnog procesa u sustavu predškolskog i školskog programa</w:t>
      </w:r>
    </w:p>
    <w:p w:rsidR="004D2AA4" w:rsidRPr="00751C3A" w:rsidRDefault="004D2AA4" w:rsidP="004D2AA4">
      <w:pPr>
        <w:pStyle w:val="Tijeloteksta"/>
        <w:spacing w:after="0"/>
        <w:jc w:val="both"/>
      </w:pPr>
      <w:r w:rsidRPr="00751C3A">
        <w:t>Pokazatelji: Rashodi za odgojno obrazovni sustav JLS, po stanovniku, broj polaznika</w:t>
      </w:r>
    </w:p>
    <w:p w:rsidR="00201DC9" w:rsidRPr="00751C3A" w:rsidRDefault="00201DC9" w:rsidP="000369CB">
      <w:pPr>
        <w:pStyle w:val="Tijeloteksta"/>
        <w:spacing w:after="0"/>
        <w:jc w:val="both"/>
      </w:pPr>
    </w:p>
    <w:tbl>
      <w:tblPr>
        <w:tblW w:w="9385" w:type="dxa"/>
        <w:tblLook w:val="04A0" w:firstRow="1" w:lastRow="0" w:firstColumn="1" w:lastColumn="0" w:noHBand="0" w:noVBand="1"/>
      </w:tblPr>
      <w:tblGrid>
        <w:gridCol w:w="5245"/>
        <w:gridCol w:w="1340"/>
        <w:gridCol w:w="1340"/>
        <w:gridCol w:w="1460"/>
      </w:tblGrid>
      <w:tr w:rsidR="00391C43" w:rsidRPr="00751C3A" w:rsidTr="00201DC9">
        <w:trPr>
          <w:trHeight w:val="255"/>
        </w:trPr>
        <w:tc>
          <w:tcPr>
            <w:tcW w:w="5245"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245"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1002 POSLOVANJE FINANCIRANO IZ OSTALIH IZVORA PRIHODA KORISNIKA</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455.300,00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455.300,00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455.300,00</w:t>
            </w:r>
          </w:p>
        </w:tc>
      </w:tr>
      <w:tr w:rsidR="00201DC9" w:rsidRPr="00751C3A" w:rsidTr="00201DC9">
        <w:trPr>
          <w:trHeight w:val="255"/>
        </w:trPr>
        <w:tc>
          <w:tcPr>
            <w:tcW w:w="5245"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Redovna djelatnost ustanove predškolskog odgoja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455.300,00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455.300,00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455.300,00</w:t>
            </w:r>
          </w:p>
        </w:tc>
      </w:tr>
    </w:tbl>
    <w:p w:rsidR="00391C43" w:rsidRPr="00751C3A" w:rsidRDefault="004D2AA4" w:rsidP="004D2AA4">
      <w:pPr>
        <w:pStyle w:val="Tijeloteksta"/>
        <w:spacing w:after="0"/>
        <w:jc w:val="both"/>
      </w:pPr>
      <w:r w:rsidRPr="00751C3A">
        <w:t>Cilj: povećati dostupnost te osigurati kvalitetnije uvjete u provedbi odgojno- obrazovnog procesa u sustavu predškolskog i školskog programa</w:t>
      </w:r>
    </w:p>
    <w:p w:rsidR="004D2AA4" w:rsidRPr="00751C3A" w:rsidRDefault="004D2AA4" w:rsidP="004D2AA4">
      <w:pPr>
        <w:pStyle w:val="Tijeloteksta"/>
        <w:spacing w:after="0"/>
        <w:jc w:val="both"/>
      </w:pPr>
      <w:r w:rsidRPr="00751C3A">
        <w:t>Pokazatelji: Rashodi za odgojno obrazovni sustav JLS, po stanovniku, broj polaznika</w:t>
      </w:r>
    </w:p>
    <w:p w:rsidR="00201DC9" w:rsidRPr="00751C3A" w:rsidRDefault="00201DC9" w:rsidP="000369CB">
      <w:pPr>
        <w:pStyle w:val="Tijeloteksta"/>
        <w:spacing w:after="0"/>
        <w:jc w:val="both"/>
      </w:pPr>
    </w:p>
    <w:p w:rsidR="00D62800" w:rsidRPr="00751C3A" w:rsidRDefault="00D62800" w:rsidP="000369CB">
      <w:pPr>
        <w:pStyle w:val="Tijeloteksta"/>
        <w:spacing w:after="0"/>
        <w:jc w:val="both"/>
      </w:pPr>
    </w:p>
    <w:tbl>
      <w:tblPr>
        <w:tblW w:w="9243" w:type="dxa"/>
        <w:tblLook w:val="04A0" w:firstRow="1" w:lastRow="0" w:firstColumn="1" w:lastColumn="0" w:noHBand="0" w:noVBand="1"/>
      </w:tblPr>
      <w:tblGrid>
        <w:gridCol w:w="5103"/>
        <w:gridCol w:w="1340"/>
        <w:gridCol w:w="1340"/>
        <w:gridCol w:w="1460"/>
      </w:tblGrid>
      <w:tr w:rsidR="00391C43" w:rsidRPr="00751C3A" w:rsidTr="00201DC9">
        <w:trPr>
          <w:trHeight w:val="255"/>
        </w:trPr>
        <w:tc>
          <w:tcPr>
            <w:tcW w:w="5103"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1003 POSEBNI PROGRAMI IZNAD STANDARDA</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Program potreba iznad standarda u predškolstvu</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w:t>
            </w:r>
          </w:p>
        </w:tc>
      </w:tr>
    </w:tbl>
    <w:p w:rsidR="004D2AA4" w:rsidRPr="00751C3A" w:rsidRDefault="004D2AA4" w:rsidP="004D2AA4">
      <w:pPr>
        <w:pStyle w:val="Tijeloteksta"/>
        <w:spacing w:after="0"/>
        <w:jc w:val="both"/>
      </w:pPr>
      <w:r w:rsidRPr="00751C3A">
        <w:t>Cilj: povećati dostupnost te osigurati kvalitetnije uvjete u provedbi odgojno- obrazovnog procesa u sustavu predškolskog i školskog programa</w:t>
      </w:r>
    </w:p>
    <w:p w:rsidR="004D2AA4" w:rsidRPr="00751C3A" w:rsidRDefault="004D2AA4" w:rsidP="004D2AA4">
      <w:pPr>
        <w:pStyle w:val="Tijeloteksta"/>
        <w:spacing w:after="0"/>
        <w:jc w:val="both"/>
      </w:pPr>
      <w:r w:rsidRPr="00751C3A">
        <w:t>Pokazatelji: Rashodi za odgojno obrazovni sustav JLS, po stanovniku, broj polaznika</w:t>
      </w:r>
    </w:p>
    <w:p w:rsidR="00201DC9" w:rsidRPr="00751C3A" w:rsidRDefault="00201DC9" w:rsidP="000369CB">
      <w:pPr>
        <w:pStyle w:val="Tijeloteksta"/>
        <w:spacing w:after="0"/>
        <w:jc w:val="both"/>
      </w:pPr>
    </w:p>
    <w:tbl>
      <w:tblPr>
        <w:tblW w:w="9243" w:type="dxa"/>
        <w:tblLook w:val="04A0" w:firstRow="1" w:lastRow="0" w:firstColumn="1" w:lastColumn="0" w:noHBand="0" w:noVBand="1"/>
      </w:tblPr>
      <w:tblGrid>
        <w:gridCol w:w="5103"/>
        <w:gridCol w:w="1340"/>
        <w:gridCol w:w="1340"/>
        <w:gridCol w:w="1460"/>
      </w:tblGrid>
      <w:tr w:rsidR="00391C43" w:rsidRPr="00751C3A" w:rsidTr="00201DC9">
        <w:trPr>
          <w:trHeight w:val="255"/>
        </w:trPr>
        <w:tc>
          <w:tcPr>
            <w:tcW w:w="5103" w:type="dxa"/>
            <w:tcBorders>
              <w:top w:val="nil"/>
              <w:left w:val="nil"/>
              <w:bottom w:val="nil"/>
              <w:right w:val="nil"/>
            </w:tcBorders>
            <w:shd w:val="clear" w:color="000000" w:fill="0000FF"/>
            <w:noWrap/>
            <w:vAlign w:val="bottom"/>
          </w:tcPr>
          <w:p w:rsidR="00391C43" w:rsidRPr="00751C3A" w:rsidRDefault="00391C43" w:rsidP="00201DC9">
            <w:pPr>
              <w:spacing w:after="0" w:line="240" w:lineRule="auto"/>
              <w:rPr>
                <w:rFonts w:ascii="Arial" w:eastAsia="Times New Roman" w:hAnsi="Arial" w:cs="Arial"/>
                <w:b/>
                <w:bCs/>
                <w:color w:val="FFFFFF"/>
                <w:sz w:val="20"/>
                <w:szCs w:val="20"/>
              </w:rPr>
            </w:pPr>
          </w:p>
        </w:tc>
        <w:tc>
          <w:tcPr>
            <w:tcW w:w="1340" w:type="dxa"/>
            <w:tcBorders>
              <w:top w:val="nil"/>
              <w:left w:val="nil"/>
              <w:bottom w:val="nil"/>
              <w:right w:val="nil"/>
            </w:tcBorders>
            <w:shd w:val="clear" w:color="000000" w:fill="0000FF"/>
            <w:noWrap/>
            <w:vAlign w:val="bottom"/>
          </w:tcPr>
          <w:p w:rsidR="00391C43" w:rsidRPr="00751C3A" w:rsidRDefault="00391C43"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2023</w:t>
            </w:r>
          </w:p>
        </w:tc>
        <w:tc>
          <w:tcPr>
            <w:tcW w:w="1340" w:type="dxa"/>
            <w:tcBorders>
              <w:top w:val="nil"/>
              <w:left w:val="nil"/>
              <w:bottom w:val="nil"/>
              <w:right w:val="nil"/>
            </w:tcBorders>
            <w:shd w:val="clear" w:color="000000" w:fill="0000FF"/>
            <w:noWrap/>
            <w:vAlign w:val="bottom"/>
          </w:tcPr>
          <w:p w:rsidR="00391C43" w:rsidRPr="00751C3A" w:rsidRDefault="00391C43"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2024</w:t>
            </w:r>
          </w:p>
        </w:tc>
        <w:tc>
          <w:tcPr>
            <w:tcW w:w="1460" w:type="dxa"/>
            <w:tcBorders>
              <w:top w:val="nil"/>
              <w:left w:val="nil"/>
              <w:bottom w:val="nil"/>
              <w:right w:val="nil"/>
            </w:tcBorders>
            <w:shd w:val="clear" w:color="000000" w:fill="0000FF"/>
            <w:noWrap/>
            <w:vAlign w:val="bottom"/>
          </w:tcPr>
          <w:p w:rsidR="00391C43" w:rsidRPr="00751C3A" w:rsidRDefault="00391C43"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2025</w:t>
            </w:r>
          </w:p>
        </w:tc>
      </w:tr>
      <w:tr w:rsidR="00201DC9" w:rsidRPr="00751C3A" w:rsidTr="00201DC9">
        <w:trPr>
          <w:trHeight w:val="255"/>
        </w:trPr>
        <w:tc>
          <w:tcPr>
            <w:tcW w:w="5103"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Glava 00204 GRADSKA KNJIŽNICA PAG</w:t>
            </w:r>
          </w:p>
        </w:tc>
        <w:tc>
          <w:tcPr>
            <w:tcW w:w="1340"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69.100,00</w:t>
            </w:r>
          </w:p>
        </w:tc>
        <w:tc>
          <w:tcPr>
            <w:tcW w:w="1340"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69.100,00</w:t>
            </w:r>
          </w:p>
        </w:tc>
        <w:tc>
          <w:tcPr>
            <w:tcW w:w="1460"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69.100,00</w:t>
            </w:r>
          </w:p>
        </w:tc>
      </w:tr>
    </w:tbl>
    <w:p w:rsidR="00201DC9" w:rsidRPr="00751C3A" w:rsidRDefault="00201DC9" w:rsidP="000369CB">
      <w:pPr>
        <w:pStyle w:val="Tijeloteksta"/>
        <w:spacing w:after="0"/>
        <w:jc w:val="both"/>
      </w:pPr>
    </w:p>
    <w:p w:rsidR="00201DC9" w:rsidRPr="00751C3A" w:rsidRDefault="00201DC9" w:rsidP="000369CB">
      <w:pPr>
        <w:pStyle w:val="Tijeloteksta"/>
        <w:spacing w:after="0"/>
        <w:jc w:val="both"/>
      </w:pPr>
    </w:p>
    <w:tbl>
      <w:tblPr>
        <w:tblW w:w="9243" w:type="dxa"/>
        <w:tblLook w:val="04A0" w:firstRow="1" w:lastRow="0" w:firstColumn="1" w:lastColumn="0" w:noHBand="0" w:noVBand="1"/>
      </w:tblPr>
      <w:tblGrid>
        <w:gridCol w:w="5103"/>
        <w:gridCol w:w="1340"/>
        <w:gridCol w:w="1340"/>
        <w:gridCol w:w="1460"/>
      </w:tblGrid>
      <w:tr w:rsidR="00391C43" w:rsidRPr="00751C3A" w:rsidTr="00201DC9">
        <w:trPr>
          <w:trHeight w:val="255"/>
        </w:trPr>
        <w:tc>
          <w:tcPr>
            <w:tcW w:w="5103"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391C43" w:rsidRPr="00751C3A" w:rsidRDefault="00391C43"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103"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1000 PROVEDBA ZAKONSKOG STANDARDA U KULTURI</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55.900,00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55.900,00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55.900,00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Stručno, administrativno i tehničko osoblje</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53.900,00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53.900,00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53.900,00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K100001 Nabava opreme</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700,00</w:t>
            </w:r>
          </w:p>
        </w:tc>
      </w:tr>
      <w:tr w:rsidR="00201DC9" w:rsidRPr="00751C3A" w:rsidTr="00201DC9">
        <w:trPr>
          <w:trHeight w:val="255"/>
        </w:trPr>
        <w:tc>
          <w:tcPr>
            <w:tcW w:w="5103"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K100002 Knjižna građa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r>
    </w:tbl>
    <w:p w:rsidR="00201DC9" w:rsidRPr="00751C3A" w:rsidRDefault="00391C43" w:rsidP="000369CB">
      <w:pPr>
        <w:pStyle w:val="Tijeloteksta"/>
        <w:spacing w:after="0"/>
        <w:jc w:val="both"/>
      </w:pPr>
      <w:r w:rsidRPr="00751C3A">
        <w:t>Cilj: Stručno i kontinuirano obavljanje knjižnične i nakladničke djelatnosti. Unapređenje rada kulturne ustanove (knjižnice) koja doprinosi kvaliteti kulturnog života građana, Zadovoljenje intelektualnih i kulturnih potreba građana i turista; Upoznavanje sugrađana s aktualnim tendencijama u književnosti i kulturi općenito; Upoznati širu javnost s lokalnom poviješću, socijalnim, kulturnim i književnim vrijednostima; Nabava knjižnične građe; Odgovarajuća tehnička opremljenost knjižnice; Djeci i mladima približiti knjižnični prostor kao mjesto privlačnih sadržaja; povećati samosvijest lokalne zajednice.</w:t>
      </w:r>
    </w:p>
    <w:p w:rsidR="00201DC9" w:rsidRPr="00751C3A" w:rsidRDefault="00391C43" w:rsidP="000369CB">
      <w:pPr>
        <w:pStyle w:val="Tijeloteksta"/>
        <w:spacing w:after="0"/>
        <w:jc w:val="both"/>
      </w:pPr>
      <w:r w:rsidRPr="00751C3A">
        <w:t xml:space="preserve">Pokazatelji: </w:t>
      </w:r>
      <w:r w:rsidR="00434380" w:rsidRPr="00751C3A">
        <w:t>broj organiziranih manifestacija; broj članova knjižnice</w:t>
      </w:r>
    </w:p>
    <w:p w:rsidR="00201DC9" w:rsidRPr="00751C3A" w:rsidRDefault="00201DC9" w:rsidP="000369CB">
      <w:pPr>
        <w:pStyle w:val="Tijeloteksta"/>
        <w:spacing w:after="0"/>
        <w:jc w:val="both"/>
      </w:pPr>
    </w:p>
    <w:tbl>
      <w:tblPr>
        <w:tblW w:w="9385" w:type="dxa"/>
        <w:tblLook w:val="04A0" w:firstRow="1" w:lastRow="0" w:firstColumn="1" w:lastColumn="0" w:noHBand="0" w:noVBand="1"/>
      </w:tblPr>
      <w:tblGrid>
        <w:gridCol w:w="5245"/>
        <w:gridCol w:w="1340"/>
        <w:gridCol w:w="1340"/>
        <w:gridCol w:w="1460"/>
      </w:tblGrid>
      <w:tr w:rsidR="00434380" w:rsidRPr="00751C3A" w:rsidTr="00201DC9">
        <w:trPr>
          <w:trHeight w:val="255"/>
        </w:trPr>
        <w:tc>
          <w:tcPr>
            <w:tcW w:w="5245"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245"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1001 POSLOVANJE FINANCIRANO IZ OSTALIH IZVORA PRIHODA KORISNIKA</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13.200,00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13.200,00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13.200,00</w:t>
            </w:r>
          </w:p>
        </w:tc>
      </w:tr>
      <w:tr w:rsidR="00201DC9" w:rsidRPr="00751C3A" w:rsidTr="00201DC9">
        <w:trPr>
          <w:trHeight w:val="255"/>
        </w:trPr>
        <w:tc>
          <w:tcPr>
            <w:tcW w:w="5245"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Sufinanciranje programa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13.200,00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13.200,00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13.200,00</w:t>
            </w:r>
          </w:p>
        </w:tc>
      </w:tr>
    </w:tbl>
    <w:p w:rsidR="00434380" w:rsidRPr="00751C3A" w:rsidRDefault="00434380" w:rsidP="00434380">
      <w:pPr>
        <w:pStyle w:val="Tijeloteksta"/>
        <w:spacing w:after="0"/>
        <w:jc w:val="both"/>
      </w:pPr>
      <w:r w:rsidRPr="00751C3A">
        <w:t>Cilj: Stručno i kontinuirano obavljanje knjižnične i nakladničke djelatnosti. Unapređenje rada kulturne ustanove (knjižnice) koja doprinosi kvaliteti kulturnog života građana, Zadovoljenje intelektualnih i kulturnih potreba građana i turista; Upoznavanje sugrađana s aktualnim tendencijama u književnosti i kulturi općenito; Upoznati širu javnost s lokalnom poviješću, socijalnim, kulturnim i književnim vrijednostima; Nabava knjižnične građe; Odgovarajuća tehnička opremljenost knjižnice; Djeci i mladima približiti knjižnični prostor kao mjesto privlačnih sadržaja; povećati samosvijest lokalne zajednice.</w:t>
      </w:r>
    </w:p>
    <w:p w:rsidR="00434380" w:rsidRPr="00751C3A" w:rsidRDefault="00434380" w:rsidP="00434380">
      <w:pPr>
        <w:pStyle w:val="Tijeloteksta"/>
        <w:spacing w:after="0"/>
        <w:jc w:val="both"/>
      </w:pPr>
      <w:r w:rsidRPr="00751C3A">
        <w:t>Pokazatelji: broj organiziranih manifestacija; broj članova knjižnice</w:t>
      </w:r>
    </w:p>
    <w:p w:rsidR="00201DC9" w:rsidRPr="00751C3A" w:rsidRDefault="00201DC9" w:rsidP="000369CB">
      <w:pPr>
        <w:pStyle w:val="Tijeloteksta"/>
        <w:spacing w:after="0"/>
        <w:jc w:val="both"/>
      </w:pPr>
    </w:p>
    <w:p w:rsidR="00201DC9" w:rsidRPr="00751C3A" w:rsidRDefault="00201DC9" w:rsidP="000369CB">
      <w:pPr>
        <w:pStyle w:val="Tijeloteksta"/>
        <w:spacing w:after="0"/>
        <w:jc w:val="both"/>
      </w:pPr>
    </w:p>
    <w:p w:rsidR="00201DC9" w:rsidRPr="00751C3A" w:rsidRDefault="00201DC9" w:rsidP="000369CB">
      <w:pPr>
        <w:pStyle w:val="Tijeloteksta"/>
        <w:spacing w:after="0"/>
        <w:jc w:val="both"/>
      </w:pPr>
    </w:p>
    <w:p w:rsidR="00D62800" w:rsidRPr="00751C3A" w:rsidRDefault="00D62800" w:rsidP="000369CB">
      <w:pPr>
        <w:pStyle w:val="Tijeloteksta"/>
        <w:spacing w:after="0"/>
        <w:jc w:val="both"/>
      </w:pPr>
    </w:p>
    <w:p w:rsidR="00D62800" w:rsidRPr="00751C3A" w:rsidRDefault="00D62800" w:rsidP="000369CB">
      <w:pPr>
        <w:pStyle w:val="Tijeloteksta"/>
        <w:spacing w:after="0"/>
        <w:jc w:val="both"/>
      </w:pPr>
    </w:p>
    <w:p w:rsidR="00D62800" w:rsidRPr="00751C3A" w:rsidRDefault="00D62800" w:rsidP="000369CB">
      <w:pPr>
        <w:pStyle w:val="Tijeloteksta"/>
        <w:spacing w:after="0"/>
        <w:jc w:val="both"/>
      </w:pPr>
    </w:p>
    <w:p w:rsidR="00D62800" w:rsidRPr="00751C3A" w:rsidRDefault="00D62800" w:rsidP="000369CB">
      <w:pPr>
        <w:pStyle w:val="Tijeloteksta"/>
        <w:spacing w:after="0"/>
        <w:jc w:val="both"/>
      </w:pPr>
    </w:p>
    <w:p w:rsidR="00201DC9" w:rsidRPr="00751C3A" w:rsidRDefault="00201DC9" w:rsidP="000369CB">
      <w:pPr>
        <w:pStyle w:val="Tijeloteksta"/>
        <w:spacing w:after="0"/>
        <w:jc w:val="both"/>
      </w:pPr>
    </w:p>
    <w:tbl>
      <w:tblPr>
        <w:tblW w:w="9527" w:type="dxa"/>
        <w:tblLook w:val="04A0" w:firstRow="1" w:lastRow="0" w:firstColumn="1" w:lastColumn="0" w:noHBand="0" w:noVBand="1"/>
      </w:tblPr>
      <w:tblGrid>
        <w:gridCol w:w="5387"/>
        <w:gridCol w:w="1340"/>
        <w:gridCol w:w="1340"/>
        <w:gridCol w:w="1460"/>
      </w:tblGrid>
      <w:tr w:rsidR="00434380" w:rsidRPr="00751C3A" w:rsidTr="00201DC9">
        <w:trPr>
          <w:trHeight w:val="255"/>
        </w:trPr>
        <w:tc>
          <w:tcPr>
            <w:tcW w:w="5387" w:type="dxa"/>
            <w:tcBorders>
              <w:top w:val="nil"/>
              <w:left w:val="nil"/>
              <w:bottom w:val="nil"/>
              <w:right w:val="nil"/>
            </w:tcBorders>
            <w:shd w:val="clear" w:color="000000" w:fill="0000FF"/>
            <w:noWrap/>
            <w:vAlign w:val="bottom"/>
          </w:tcPr>
          <w:p w:rsidR="00434380" w:rsidRPr="00751C3A" w:rsidRDefault="00434380" w:rsidP="00201DC9">
            <w:pPr>
              <w:spacing w:after="0" w:line="240" w:lineRule="auto"/>
              <w:rPr>
                <w:rFonts w:ascii="Arial" w:eastAsia="Times New Roman" w:hAnsi="Arial" w:cs="Arial"/>
                <w:b/>
                <w:bCs/>
                <w:color w:val="FFFFFF"/>
                <w:sz w:val="20"/>
                <w:szCs w:val="20"/>
              </w:rPr>
            </w:pPr>
          </w:p>
        </w:tc>
        <w:tc>
          <w:tcPr>
            <w:tcW w:w="1340" w:type="dxa"/>
            <w:tcBorders>
              <w:top w:val="nil"/>
              <w:left w:val="nil"/>
              <w:bottom w:val="nil"/>
              <w:right w:val="nil"/>
            </w:tcBorders>
            <w:shd w:val="clear" w:color="000000" w:fill="0000FF"/>
            <w:noWrap/>
            <w:vAlign w:val="bottom"/>
          </w:tcPr>
          <w:p w:rsidR="00434380" w:rsidRPr="00751C3A" w:rsidRDefault="00434380"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2023</w:t>
            </w:r>
          </w:p>
        </w:tc>
        <w:tc>
          <w:tcPr>
            <w:tcW w:w="1340" w:type="dxa"/>
            <w:tcBorders>
              <w:top w:val="nil"/>
              <w:left w:val="nil"/>
              <w:bottom w:val="nil"/>
              <w:right w:val="nil"/>
            </w:tcBorders>
            <w:shd w:val="clear" w:color="000000" w:fill="0000FF"/>
            <w:noWrap/>
            <w:vAlign w:val="bottom"/>
          </w:tcPr>
          <w:p w:rsidR="00434380" w:rsidRPr="00751C3A" w:rsidRDefault="00434380"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2024</w:t>
            </w:r>
          </w:p>
        </w:tc>
        <w:tc>
          <w:tcPr>
            <w:tcW w:w="1460" w:type="dxa"/>
            <w:tcBorders>
              <w:top w:val="nil"/>
              <w:left w:val="nil"/>
              <w:bottom w:val="nil"/>
              <w:right w:val="nil"/>
            </w:tcBorders>
            <w:shd w:val="clear" w:color="000000" w:fill="0000FF"/>
            <w:noWrap/>
            <w:vAlign w:val="bottom"/>
          </w:tcPr>
          <w:p w:rsidR="00434380" w:rsidRPr="00751C3A" w:rsidRDefault="00434380"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2025</w:t>
            </w:r>
          </w:p>
        </w:tc>
      </w:tr>
      <w:tr w:rsidR="00201DC9" w:rsidRPr="00751C3A" w:rsidTr="00201DC9">
        <w:trPr>
          <w:trHeight w:val="255"/>
        </w:trPr>
        <w:tc>
          <w:tcPr>
            <w:tcW w:w="5387"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Glava 00205 JAVNA VATROGASNA POSTROJBA PAG</w:t>
            </w:r>
          </w:p>
        </w:tc>
        <w:tc>
          <w:tcPr>
            <w:tcW w:w="1340"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463.500,00</w:t>
            </w:r>
          </w:p>
        </w:tc>
        <w:tc>
          <w:tcPr>
            <w:tcW w:w="1340"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463.500,00</w:t>
            </w:r>
          </w:p>
        </w:tc>
        <w:tc>
          <w:tcPr>
            <w:tcW w:w="1460" w:type="dxa"/>
            <w:tcBorders>
              <w:top w:val="nil"/>
              <w:left w:val="nil"/>
              <w:bottom w:val="nil"/>
              <w:right w:val="nil"/>
            </w:tcBorders>
            <w:shd w:val="clear" w:color="000000" w:fill="0000FF"/>
            <w:noWrap/>
            <w:vAlign w:val="bottom"/>
            <w:hideMark/>
          </w:tcPr>
          <w:p w:rsidR="00201DC9" w:rsidRPr="00751C3A" w:rsidRDefault="00201DC9" w:rsidP="00201DC9">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463.500,00</w:t>
            </w:r>
          </w:p>
        </w:tc>
      </w:tr>
    </w:tbl>
    <w:p w:rsidR="00201DC9" w:rsidRPr="00751C3A" w:rsidRDefault="00201DC9" w:rsidP="000369CB">
      <w:pPr>
        <w:pStyle w:val="Tijeloteksta"/>
        <w:spacing w:after="0"/>
        <w:jc w:val="both"/>
      </w:pPr>
    </w:p>
    <w:p w:rsidR="00201DC9" w:rsidRPr="00751C3A" w:rsidRDefault="00201DC9" w:rsidP="000369CB">
      <w:pPr>
        <w:pStyle w:val="Tijeloteksta"/>
        <w:spacing w:after="0"/>
        <w:jc w:val="both"/>
      </w:pPr>
    </w:p>
    <w:tbl>
      <w:tblPr>
        <w:tblW w:w="9385" w:type="dxa"/>
        <w:tblLook w:val="04A0" w:firstRow="1" w:lastRow="0" w:firstColumn="1" w:lastColumn="0" w:noHBand="0" w:noVBand="1"/>
      </w:tblPr>
      <w:tblGrid>
        <w:gridCol w:w="5245"/>
        <w:gridCol w:w="1340"/>
        <w:gridCol w:w="1340"/>
        <w:gridCol w:w="1460"/>
      </w:tblGrid>
      <w:tr w:rsidR="00434380" w:rsidRPr="00751C3A" w:rsidTr="00201DC9">
        <w:trPr>
          <w:trHeight w:val="255"/>
        </w:trPr>
        <w:tc>
          <w:tcPr>
            <w:tcW w:w="5245"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245"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1000 Redovna djelatnost JVP</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232.600,00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232.600,00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232.600,00</w:t>
            </w:r>
          </w:p>
        </w:tc>
      </w:tr>
      <w:tr w:rsidR="00201DC9" w:rsidRPr="00751C3A" w:rsidTr="00201DC9">
        <w:trPr>
          <w:trHeight w:val="255"/>
        </w:trPr>
        <w:tc>
          <w:tcPr>
            <w:tcW w:w="5245"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Redovna djelatnost JVP</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232.600,00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232.600,00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232.600,00</w:t>
            </w:r>
          </w:p>
        </w:tc>
      </w:tr>
    </w:tbl>
    <w:p w:rsidR="00201DC9" w:rsidRPr="00751C3A" w:rsidRDefault="00434380" w:rsidP="000369CB">
      <w:pPr>
        <w:pStyle w:val="Tijeloteksta"/>
        <w:spacing w:after="0"/>
        <w:jc w:val="both"/>
      </w:pPr>
      <w:r w:rsidRPr="00751C3A">
        <w:t>Cilj: Uređenje, planiranje, organiziranje, financiranje i provedba sustava vatrogastva, skrb o potrebama i interesima građana za organiziranjem i djelovanjem učinkovite vatrogasne službe, provedba mjera zaštite od požara.</w:t>
      </w:r>
    </w:p>
    <w:p w:rsidR="00201DC9" w:rsidRPr="00751C3A" w:rsidRDefault="00434380" w:rsidP="000369CB">
      <w:pPr>
        <w:pStyle w:val="Tijeloteksta"/>
        <w:spacing w:after="0"/>
        <w:jc w:val="both"/>
      </w:pPr>
      <w:r w:rsidRPr="00751C3A">
        <w:t>Pokazatelji: Broj intervencija u tekućoj godini, rad na prevenciji, opremanje postrojbi osobnom zaštitnom opremom, nedostajućom tehnikom, alatima i drugo.</w:t>
      </w:r>
    </w:p>
    <w:p w:rsidR="00201DC9" w:rsidRPr="00751C3A" w:rsidRDefault="00201DC9" w:rsidP="000369CB">
      <w:pPr>
        <w:pStyle w:val="Tijeloteksta"/>
        <w:spacing w:after="0"/>
        <w:jc w:val="both"/>
      </w:pPr>
    </w:p>
    <w:tbl>
      <w:tblPr>
        <w:tblW w:w="9385" w:type="dxa"/>
        <w:tblLook w:val="04A0" w:firstRow="1" w:lastRow="0" w:firstColumn="1" w:lastColumn="0" w:noHBand="0" w:noVBand="1"/>
      </w:tblPr>
      <w:tblGrid>
        <w:gridCol w:w="5245"/>
        <w:gridCol w:w="1340"/>
        <w:gridCol w:w="1340"/>
        <w:gridCol w:w="1460"/>
      </w:tblGrid>
      <w:tr w:rsidR="00434380" w:rsidRPr="00751C3A" w:rsidTr="00201DC9">
        <w:trPr>
          <w:trHeight w:val="255"/>
        </w:trPr>
        <w:tc>
          <w:tcPr>
            <w:tcW w:w="5245"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434380" w:rsidRPr="00751C3A" w:rsidRDefault="00434380"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201DC9" w:rsidRPr="00751C3A" w:rsidTr="00201DC9">
        <w:trPr>
          <w:trHeight w:val="255"/>
        </w:trPr>
        <w:tc>
          <w:tcPr>
            <w:tcW w:w="5245"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1001 Financiranje iznad standarda</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230.900,00</w:t>
            </w:r>
          </w:p>
        </w:tc>
        <w:tc>
          <w:tcPr>
            <w:tcW w:w="134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230.900,00</w:t>
            </w:r>
          </w:p>
        </w:tc>
        <w:tc>
          <w:tcPr>
            <w:tcW w:w="1460" w:type="dxa"/>
            <w:tcBorders>
              <w:top w:val="nil"/>
              <w:left w:val="nil"/>
              <w:bottom w:val="nil"/>
              <w:right w:val="nil"/>
            </w:tcBorders>
            <w:shd w:val="clear" w:color="000000" w:fill="9999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230.900,00</w:t>
            </w:r>
          </w:p>
        </w:tc>
      </w:tr>
      <w:tr w:rsidR="00201DC9" w:rsidRPr="00751C3A" w:rsidTr="00201DC9">
        <w:trPr>
          <w:trHeight w:val="255"/>
        </w:trPr>
        <w:tc>
          <w:tcPr>
            <w:tcW w:w="5245"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Financiranje iznad standarda</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230.900,00</w:t>
            </w:r>
          </w:p>
        </w:tc>
        <w:tc>
          <w:tcPr>
            <w:tcW w:w="134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230.900,00</w:t>
            </w:r>
          </w:p>
        </w:tc>
        <w:tc>
          <w:tcPr>
            <w:tcW w:w="1460" w:type="dxa"/>
            <w:tcBorders>
              <w:top w:val="nil"/>
              <w:left w:val="nil"/>
              <w:bottom w:val="nil"/>
              <w:right w:val="nil"/>
            </w:tcBorders>
            <w:shd w:val="clear" w:color="000000" w:fill="CCCCFF"/>
            <w:noWrap/>
            <w:vAlign w:val="bottom"/>
            <w:hideMark/>
          </w:tcPr>
          <w:p w:rsidR="00201DC9" w:rsidRPr="00751C3A" w:rsidRDefault="00201DC9" w:rsidP="00201DC9">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230.900,00</w:t>
            </w:r>
          </w:p>
        </w:tc>
      </w:tr>
    </w:tbl>
    <w:p w:rsidR="00434380" w:rsidRPr="00751C3A" w:rsidRDefault="00434380" w:rsidP="00434380">
      <w:pPr>
        <w:pStyle w:val="Tijeloteksta"/>
        <w:spacing w:after="0"/>
        <w:jc w:val="both"/>
      </w:pPr>
      <w:r w:rsidRPr="00751C3A">
        <w:t>Cilj: Uređenje, planiranje, organiziranje, financiranje i provedba sustava vatrogastva, skrb o potrebama i interesima građana za organiziranjem i djelovanjem učinkovite vatrogasne službe, provedba mjera zaštite od požara.</w:t>
      </w:r>
    </w:p>
    <w:p w:rsidR="00434380" w:rsidRPr="00751C3A" w:rsidRDefault="00434380" w:rsidP="00434380">
      <w:pPr>
        <w:pStyle w:val="Tijeloteksta"/>
        <w:spacing w:after="0"/>
        <w:jc w:val="both"/>
      </w:pPr>
      <w:r w:rsidRPr="00751C3A">
        <w:t>Pokazatelji: Broj intervencija u tekućoj godini, rad na prevenciji, opremanje postrojbi osobnom zaštitnom opremom, nedostajućom tehnikom, alatima i drugo.</w:t>
      </w:r>
    </w:p>
    <w:p w:rsidR="00465975" w:rsidRPr="00751C3A" w:rsidRDefault="00465975" w:rsidP="000369CB">
      <w:pPr>
        <w:pStyle w:val="Tijeloteksta"/>
        <w:spacing w:after="0"/>
        <w:jc w:val="both"/>
      </w:pPr>
    </w:p>
    <w:tbl>
      <w:tblPr>
        <w:tblW w:w="9385" w:type="dxa"/>
        <w:tblLook w:val="04A0" w:firstRow="1" w:lastRow="0" w:firstColumn="1" w:lastColumn="0" w:noHBand="0" w:noVBand="1"/>
      </w:tblPr>
      <w:tblGrid>
        <w:gridCol w:w="5245"/>
        <w:gridCol w:w="1340"/>
        <w:gridCol w:w="1340"/>
        <w:gridCol w:w="1460"/>
      </w:tblGrid>
      <w:tr w:rsidR="00434380" w:rsidRPr="00751C3A" w:rsidTr="00465975">
        <w:trPr>
          <w:trHeight w:val="255"/>
        </w:trPr>
        <w:tc>
          <w:tcPr>
            <w:tcW w:w="5245" w:type="dxa"/>
            <w:tcBorders>
              <w:top w:val="nil"/>
              <w:left w:val="nil"/>
              <w:bottom w:val="nil"/>
              <w:right w:val="nil"/>
            </w:tcBorders>
            <w:shd w:val="clear" w:color="000000" w:fill="000080"/>
            <w:noWrap/>
            <w:vAlign w:val="bottom"/>
          </w:tcPr>
          <w:p w:rsidR="00434380" w:rsidRPr="00751C3A" w:rsidRDefault="00434380" w:rsidP="00465975">
            <w:pPr>
              <w:spacing w:after="0" w:line="240" w:lineRule="auto"/>
              <w:rPr>
                <w:rFonts w:ascii="Arial" w:eastAsia="Times New Roman" w:hAnsi="Arial" w:cs="Arial"/>
                <w:b/>
                <w:bCs/>
                <w:color w:val="FFFFFF"/>
                <w:sz w:val="20"/>
                <w:szCs w:val="20"/>
              </w:rPr>
            </w:pPr>
          </w:p>
        </w:tc>
        <w:tc>
          <w:tcPr>
            <w:tcW w:w="1340" w:type="dxa"/>
            <w:tcBorders>
              <w:top w:val="nil"/>
              <w:left w:val="nil"/>
              <w:bottom w:val="nil"/>
              <w:right w:val="nil"/>
            </w:tcBorders>
            <w:shd w:val="clear" w:color="000000" w:fill="000080"/>
            <w:noWrap/>
            <w:vAlign w:val="bottom"/>
          </w:tcPr>
          <w:p w:rsidR="00434380" w:rsidRPr="00751C3A" w:rsidRDefault="00434380"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2023</w:t>
            </w:r>
          </w:p>
        </w:tc>
        <w:tc>
          <w:tcPr>
            <w:tcW w:w="1340" w:type="dxa"/>
            <w:tcBorders>
              <w:top w:val="nil"/>
              <w:left w:val="nil"/>
              <w:bottom w:val="nil"/>
              <w:right w:val="nil"/>
            </w:tcBorders>
            <w:shd w:val="clear" w:color="000000" w:fill="000080"/>
            <w:noWrap/>
            <w:vAlign w:val="bottom"/>
          </w:tcPr>
          <w:p w:rsidR="00434380" w:rsidRPr="00751C3A" w:rsidRDefault="00434380"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2024</w:t>
            </w:r>
          </w:p>
        </w:tc>
        <w:tc>
          <w:tcPr>
            <w:tcW w:w="1460" w:type="dxa"/>
            <w:tcBorders>
              <w:top w:val="nil"/>
              <w:left w:val="nil"/>
              <w:bottom w:val="nil"/>
              <w:right w:val="nil"/>
            </w:tcBorders>
            <w:shd w:val="clear" w:color="000000" w:fill="000080"/>
            <w:noWrap/>
            <w:vAlign w:val="bottom"/>
          </w:tcPr>
          <w:p w:rsidR="00434380" w:rsidRPr="00751C3A" w:rsidRDefault="00434380"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2025</w:t>
            </w:r>
          </w:p>
        </w:tc>
      </w:tr>
      <w:tr w:rsidR="00465975" w:rsidRPr="00751C3A" w:rsidTr="00465975">
        <w:trPr>
          <w:trHeight w:val="255"/>
        </w:trPr>
        <w:tc>
          <w:tcPr>
            <w:tcW w:w="5245"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Razdjel 003 UPRAVNI ODJEL ZA PRORAČUN I FINANCIJE</w:t>
            </w:r>
          </w:p>
        </w:tc>
        <w:tc>
          <w:tcPr>
            <w:tcW w:w="1340"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619.300,00</w:t>
            </w:r>
          </w:p>
        </w:tc>
        <w:tc>
          <w:tcPr>
            <w:tcW w:w="1340"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388.800,00</w:t>
            </w:r>
          </w:p>
        </w:tc>
        <w:tc>
          <w:tcPr>
            <w:tcW w:w="1460"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388.800,00</w:t>
            </w:r>
          </w:p>
        </w:tc>
      </w:tr>
      <w:tr w:rsidR="00465975" w:rsidRPr="00751C3A" w:rsidTr="00465975">
        <w:trPr>
          <w:trHeight w:val="255"/>
        </w:trPr>
        <w:tc>
          <w:tcPr>
            <w:tcW w:w="5245"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Glava 00301 UPRAVNI ODJEL ZA PRORAČUN I FINANCIJE</w:t>
            </w:r>
          </w:p>
        </w:tc>
        <w:tc>
          <w:tcPr>
            <w:tcW w:w="1340"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619.300,00</w:t>
            </w:r>
          </w:p>
        </w:tc>
        <w:tc>
          <w:tcPr>
            <w:tcW w:w="1340"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388.800,00</w:t>
            </w:r>
          </w:p>
        </w:tc>
        <w:tc>
          <w:tcPr>
            <w:tcW w:w="1460"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388.800,00</w:t>
            </w:r>
          </w:p>
        </w:tc>
      </w:tr>
    </w:tbl>
    <w:p w:rsidR="00201DC9" w:rsidRPr="00751C3A" w:rsidRDefault="00201DC9" w:rsidP="000369CB">
      <w:pPr>
        <w:pStyle w:val="Tijeloteksta"/>
        <w:spacing w:after="0"/>
        <w:jc w:val="both"/>
      </w:pPr>
    </w:p>
    <w:p w:rsidR="00465975" w:rsidRPr="00751C3A" w:rsidRDefault="00465975" w:rsidP="000369CB">
      <w:pPr>
        <w:pStyle w:val="Tijeloteksta"/>
        <w:spacing w:after="0"/>
        <w:jc w:val="both"/>
      </w:pPr>
    </w:p>
    <w:tbl>
      <w:tblPr>
        <w:tblW w:w="9527" w:type="dxa"/>
        <w:tblLook w:val="04A0" w:firstRow="1" w:lastRow="0" w:firstColumn="1" w:lastColumn="0" w:noHBand="0" w:noVBand="1"/>
      </w:tblPr>
      <w:tblGrid>
        <w:gridCol w:w="5387"/>
        <w:gridCol w:w="1340"/>
        <w:gridCol w:w="1340"/>
        <w:gridCol w:w="1460"/>
      </w:tblGrid>
      <w:tr w:rsidR="00AC0B0F" w:rsidRPr="00751C3A" w:rsidTr="00465975">
        <w:trPr>
          <w:trHeight w:val="255"/>
        </w:trPr>
        <w:tc>
          <w:tcPr>
            <w:tcW w:w="5387" w:type="dxa"/>
            <w:tcBorders>
              <w:top w:val="nil"/>
              <w:left w:val="nil"/>
              <w:bottom w:val="nil"/>
              <w:right w:val="nil"/>
            </w:tcBorders>
            <w:shd w:val="clear" w:color="000000" w:fill="9999FF"/>
            <w:noWrap/>
            <w:vAlign w:val="bottom"/>
          </w:tcPr>
          <w:p w:rsidR="00AC0B0F" w:rsidRPr="00751C3A" w:rsidRDefault="00AC0B0F"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AC0B0F" w:rsidRPr="00751C3A" w:rsidRDefault="00AC0B0F"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AC0B0F" w:rsidRPr="00751C3A" w:rsidRDefault="00AC0B0F"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AC0B0F" w:rsidRPr="00751C3A" w:rsidRDefault="00AC0B0F"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387"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1000 PRIPREMA I DONOŠENJE AKATA IZ DJELOKRUGA TIJELA</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169.200,00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169.200,00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169.200,00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Stručno, administrativno i tehničko osoblje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169.200,00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169.200,00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169.200,00</w:t>
            </w:r>
          </w:p>
        </w:tc>
      </w:tr>
    </w:tbl>
    <w:p w:rsidR="00465975" w:rsidRPr="00751C3A" w:rsidRDefault="00AC0B0F" w:rsidP="000369CB">
      <w:pPr>
        <w:pStyle w:val="Tijeloteksta"/>
        <w:spacing w:after="0"/>
        <w:jc w:val="both"/>
      </w:pPr>
      <w:r w:rsidRPr="00751C3A">
        <w:t>Cilj: izrada proračuna, praćenje izvršavanja proračuna, vođenje proračunskog računovodstva te osiguravanje uvjeta za redoviti i nesmetani rad upravnih tijela Grada.</w:t>
      </w:r>
    </w:p>
    <w:p w:rsidR="00AC0B0F" w:rsidRPr="00751C3A" w:rsidRDefault="00AC0B0F" w:rsidP="000369CB">
      <w:pPr>
        <w:pStyle w:val="Tijeloteksta"/>
        <w:spacing w:after="0"/>
        <w:jc w:val="both"/>
      </w:pPr>
      <w:r w:rsidRPr="00751C3A">
        <w:t>Pokazatelji: osigurana likvidnost proračuna, izvršavanje rashoda proračuna u skladu s usvojenim proračunskim stavkama te osiguravanje uvjeta za redoviti i nesmetani rad upravnih tijela Grada</w:t>
      </w:r>
    </w:p>
    <w:p w:rsidR="00465975" w:rsidRPr="00751C3A" w:rsidRDefault="00465975" w:rsidP="000369CB">
      <w:pPr>
        <w:pStyle w:val="Tijeloteksta"/>
        <w:spacing w:after="0"/>
        <w:jc w:val="both"/>
      </w:pPr>
    </w:p>
    <w:tbl>
      <w:tblPr>
        <w:tblW w:w="9527" w:type="dxa"/>
        <w:tblLook w:val="04A0" w:firstRow="1" w:lastRow="0" w:firstColumn="1" w:lastColumn="0" w:noHBand="0" w:noVBand="1"/>
      </w:tblPr>
      <w:tblGrid>
        <w:gridCol w:w="5387"/>
        <w:gridCol w:w="1340"/>
        <w:gridCol w:w="1340"/>
        <w:gridCol w:w="1460"/>
      </w:tblGrid>
      <w:tr w:rsidR="00434380" w:rsidRPr="00751C3A" w:rsidTr="00465975">
        <w:trPr>
          <w:trHeight w:val="255"/>
        </w:trPr>
        <w:tc>
          <w:tcPr>
            <w:tcW w:w="5387" w:type="dxa"/>
            <w:tcBorders>
              <w:top w:val="nil"/>
              <w:left w:val="nil"/>
              <w:bottom w:val="nil"/>
              <w:right w:val="nil"/>
            </w:tcBorders>
            <w:shd w:val="clear" w:color="000000" w:fill="9999FF"/>
            <w:noWrap/>
            <w:vAlign w:val="bottom"/>
          </w:tcPr>
          <w:p w:rsidR="00434380" w:rsidRPr="00751C3A" w:rsidRDefault="00434380"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434380" w:rsidRPr="00751C3A" w:rsidRDefault="00434380"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434380" w:rsidRPr="00751C3A" w:rsidRDefault="00434380"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434380" w:rsidRPr="00751C3A" w:rsidRDefault="00434380"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387"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1001 OSTALI RASHODI VEZANI UZ FINANCIJE</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450.100,00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219.600,00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219.600,00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Financijski rashodi</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54.600,00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54.600,00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54.600,00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Premije osiguranja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22.500,00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A100003 Članarine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A100006 Otplata kredita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370.000,00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139.500,00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139.500,00</w:t>
            </w:r>
          </w:p>
        </w:tc>
      </w:tr>
    </w:tbl>
    <w:p w:rsidR="00465975" w:rsidRPr="00751C3A" w:rsidRDefault="00434380" w:rsidP="000369CB">
      <w:pPr>
        <w:pStyle w:val="Tijeloteksta"/>
        <w:spacing w:after="0"/>
        <w:jc w:val="both"/>
      </w:pPr>
      <w:r w:rsidRPr="00751C3A">
        <w:t>Cilj: pravovremeno izvršavanje poslova vezano uz realizaciju otplate kredita i zajmova; pravovremeno obavljanje poslova vezano uz osiguranje imovine i objekata Grada</w:t>
      </w:r>
    </w:p>
    <w:p w:rsidR="00434380" w:rsidRPr="00751C3A" w:rsidRDefault="00434380" w:rsidP="000369CB">
      <w:pPr>
        <w:pStyle w:val="Tijeloteksta"/>
        <w:spacing w:after="0"/>
        <w:jc w:val="both"/>
      </w:pPr>
      <w:r w:rsidRPr="00751C3A">
        <w:t xml:space="preserve">Pokazatelji: </w:t>
      </w:r>
      <w:r w:rsidR="005A38AD" w:rsidRPr="00751C3A">
        <w:t>broj polica osiguranja; iznos otplate kredita</w:t>
      </w:r>
    </w:p>
    <w:p w:rsidR="00465975" w:rsidRPr="00751C3A" w:rsidRDefault="00465975" w:rsidP="000369CB">
      <w:pPr>
        <w:pStyle w:val="Tijeloteksta"/>
        <w:spacing w:after="0"/>
        <w:jc w:val="both"/>
      </w:pPr>
    </w:p>
    <w:p w:rsidR="00465975" w:rsidRPr="00751C3A" w:rsidRDefault="00465975" w:rsidP="000369CB">
      <w:pPr>
        <w:pStyle w:val="Tijeloteksta"/>
        <w:spacing w:after="0"/>
        <w:jc w:val="both"/>
      </w:pPr>
    </w:p>
    <w:tbl>
      <w:tblPr>
        <w:tblW w:w="9473" w:type="dxa"/>
        <w:tblLook w:val="04A0" w:firstRow="1" w:lastRow="0" w:firstColumn="1" w:lastColumn="0" w:noHBand="0" w:noVBand="1"/>
      </w:tblPr>
      <w:tblGrid>
        <w:gridCol w:w="5245"/>
        <w:gridCol w:w="1384"/>
        <w:gridCol w:w="1384"/>
        <w:gridCol w:w="1460"/>
      </w:tblGrid>
      <w:tr w:rsidR="005A38AD" w:rsidRPr="00751C3A" w:rsidTr="00465975">
        <w:trPr>
          <w:trHeight w:val="255"/>
        </w:trPr>
        <w:tc>
          <w:tcPr>
            <w:tcW w:w="5245" w:type="dxa"/>
            <w:tcBorders>
              <w:top w:val="nil"/>
              <w:left w:val="nil"/>
              <w:bottom w:val="nil"/>
              <w:right w:val="nil"/>
            </w:tcBorders>
            <w:shd w:val="clear" w:color="000000" w:fill="000080"/>
            <w:noWrap/>
            <w:vAlign w:val="bottom"/>
          </w:tcPr>
          <w:p w:rsidR="005A38AD" w:rsidRPr="00751C3A" w:rsidRDefault="005A38AD" w:rsidP="00465975">
            <w:pPr>
              <w:spacing w:after="0" w:line="240" w:lineRule="auto"/>
              <w:rPr>
                <w:rFonts w:ascii="Arial" w:eastAsia="Times New Roman" w:hAnsi="Arial" w:cs="Arial"/>
                <w:b/>
                <w:bCs/>
                <w:color w:val="FFFFFF"/>
                <w:sz w:val="20"/>
                <w:szCs w:val="20"/>
              </w:rPr>
            </w:pPr>
          </w:p>
        </w:tc>
        <w:tc>
          <w:tcPr>
            <w:tcW w:w="1384" w:type="dxa"/>
            <w:tcBorders>
              <w:top w:val="nil"/>
              <w:left w:val="nil"/>
              <w:bottom w:val="nil"/>
              <w:right w:val="nil"/>
            </w:tcBorders>
            <w:shd w:val="clear" w:color="000000" w:fill="000080"/>
            <w:noWrap/>
            <w:vAlign w:val="bottom"/>
          </w:tcPr>
          <w:p w:rsidR="005A38AD" w:rsidRPr="00751C3A" w:rsidRDefault="005A38AD"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2023</w:t>
            </w:r>
          </w:p>
        </w:tc>
        <w:tc>
          <w:tcPr>
            <w:tcW w:w="1384" w:type="dxa"/>
            <w:tcBorders>
              <w:top w:val="nil"/>
              <w:left w:val="nil"/>
              <w:bottom w:val="nil"/>
              <w:right w:val="nil"/>
            </w:tcBorders>
            <w:shd w:val="clear" w:color="000000" w:fill="000080"/>
            <w:noWrap/>
            <w:vAlign w:val="bottom"/>
          </w:tcPr>
          <w:p w:rsidR="005A38AD" w:rsidRPr="00751C3A" w:rsidRDefault="005A38AD"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2024</w:t>
            </w:r>
          </w:p>
        </w:tc>
        <w:tc>
          <w:tcPr>
            <w:tcW w:w="1460" w:type="dxa"/>
            <w:tcBorders>
              <w:top w:val="nil"/>
              <w:left w:val="nil"/>
              <w:bottom w:val="nil"/>
              <w:right w:val="nil"/>
            </w:tcBorders>
            <w:shd w:val="clear" w:color="000000" w:fill="000080"/>
            <w:noWrap/>
            <w:vAlign w:val="bottom"/>
          </w:tcPr>
          <w:p w:rsidR="005A38AD" w:rsidRPr="00751C3A" w:rsidRDefault="005A38AD"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2025</w:t>
            </w:r>
          </w:p>
        </w:tc>
      </w:tr>
      <w:tr w:rsidR="00465975" w:rsidRPr="00751C3A" w:rsidTr="00465975">
        <w:trPr>
          <w:trHeight w:val="255"/>
        </w:trPr>
        <w:tc>
          <w:tcPr>
            <w:tcW w:w="5245"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Razdjel 004 UPRAVNI ODJEL ZA KOMUNALNI SUSTAV I IMOVINSKO PRAVNE POSLOVE</w:t>
            </w:r>
          </w:p>
        </w:tc>
        <w:tc>
          <w:tcPr>
            <w:tcW w:w="1384"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2.300.600,00</w:t>
            </w:r>
          </w:p>
        </w:tc>
        <w:tc>
          <w:tcPr>
            <w:tcW w:w="1384"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2.165.600,00</w:t>
            </w:r>
          </w:p>
        </w:tc>
        <w:tc>
          <w:tcPr>
            <w:tcW w:w="1460"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2.165.600,00</w:t>
            </w:r>
          </w:p>
        </w:tc>
      </w:tr>
      <w:tr w:rsidR="00465975" w:rsidRPr="00751C3A" w:rsidTr="00465975">
        <w:trPr>
          <w:trHeight w:val="255"/>
        </w:trPr>
        <w:tc>
          <w:tcPr>
            <w:tcW w:w="5245"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Glava 00401 UPRAVNI ODJEL ZA KOMUNALNI SUSTAV I IMOVINSKO PREAVNE POSLOVE</w:t>
            </w:r>
          </w:p>
        </w:tc>
        <w:tc>
          <w:tcPr>
            <w:tcW w:w="1384"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2.300.600,00</w:t>
            </w:r>
          </w:p>
        </w:tc>
        <w:tc>
          <w:tcPr>
            <w:tcW w:w="1384"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2.165.600,00</w:t>
            </w:r>
          </w:p>
        </w:tc>
        <w:tc>
          <w:tcPr>
            <w:tcW w:w="1460"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2.165.600,00</w:t>
            </w:r>
          </w:p>
        </w:tc>
      </w:tr>
    </w:tbl>
    <w:p w:rsidR="00465975" w:rsidRPr="00751C3A" w:rsidRDefault="00465975" w:rsidP="000369CB">
      <w:pPr>
        <w:pStyle w:val="Tijeloteksta"/>
        <w:spacing w:after="0"/>
        <w:jc w:val="both"/>
      </w:pPr>
    </w:p>
    <w:p w:rsidR="00465975" w:rsidRPr="00751C3A" w:rsidRDefault="00465975" w:rsidP="000369CB">
      <w:pPr>
        <w:pStyle w:val="Tijeloteksta"/>
        <w:spacing w:after="0"/>
        <w:jc w:val="both"/>
      </w:pPr>
    </w:p>
    <w:tbl>
      <w:tblPr>
        <w:tblW w:w="9527" w:type="dxa"/>
        <w:tblLook w:val="04A0" w:firstRow="1" w:lastRow="0" w:firstColumn="1" w:lastColumn="0" w:noHBand="0" w:noVBand="1"/>
      </w:tblPr>
      <w:tblGrid>
        <w:gridCol w:w="5387"/>
        <w:gridCol w:w="1340"/>
        <w:gridCol w:w="1340"/>
        <w:gridCol w:w="1460"/>
      </w:tblGrid>
      <w:tr w:rsidR="005A38AD" w:rsidRPr="00751C3A" w:rsidTr="00465975">
        <w:trPr>
          <w:trHeight w:val="255"/>
        </w:trPr>
        <w:tc>
          <w:tcPr>
            <w:tcW w:w="5387"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387"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1000 PRIPREMA I DONOŠENJE AKATA IZ DJELOKRUGA TIJELA</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414.700,00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279.700,00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279.700,00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Stručno, administrativno i tehničko osoblje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158.900,00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158.900,00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158.900,00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Odvjetničke i duge usluge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255.800,00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120.800,00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120.800,00</w:t>
            </w:r>
          </w:p>
        </w:tc>
      </w:tr>
    </w:tbl>
    <w:p w:rsidR="007C10C4" w:rsidRPr="00751C3A" w:rsidRDefault="007C10C4" w:rsidP="007C10C4">
      <w:pPr>
        <w:pStyle w:val="Tijeloteksta"/>
        <w:spacing w:after="0"/>
        <w:jc w:val="both"/>
      </w:pPr>
      <w:r w:rsidRPr="00751C3A">
        <w:t>Cilj: Osiguravanje nesmetanog obavljanja poslova kroz optimalni broj djelatnika gradske uprave radi zadovoljavanja potreba građana u okviru zakonom utvrđenih zadaća JLS. Provođenje politike plaća i drugih materijalnih prava zaposlenika u skladu s proračunskim mogućnostima te osiguravanje sredstava za nesmetano obavljanje upravnih, stručnih, administrativnih i ostalih poslova Odjela.</w:t>
      </w:r>
    </w:p>
    <w:p w:rsidR="007C10C4" w:rsidRPr="00751C3A" w:rsidRDefault="007C10C4" w:rsidP="007C10C4">
      <w:pPr>
        <w:pStyle w:val="Tijeloteksta"/>
        <w:spacing w:after="0"/>
        <w:jc w:val="both"/>
      </w:pPr>
      <w:r w:rsidRPr="00751C3A">
        <w:t>Pokazatelji: Ispunjavanje zakonskih obveza i obveza iz Pravilnika o radu, ispunjavanje obveza po posebnim propisima, redovito i nesmetano odvijanje procesa rada upravnih tijela Grada</w:t>
      </w:r>
    </w:p>
    <w:p w:rsidR="00465975" w:rsidRPr="00751C3A" w:rsidRDefault="00465975" w:rsidP="000369CB">
      <w:pPr>
        <w:pStyle w:val="Tijeloteksta"/>
        <w:spacing w:after="0"/>
        <w:jc w:val="both"/>
      </w:pPr>
    </w:p>
    <w:tbl>
      <w:tblPr>
        <w:tblW w:w="9473" w:type="dxa"/>
        <w:tblLook w:val="04A0" w:firstRow="1" w:lastRow="0" w:firstColumn="1" w:lastColumn="0" w:noHBand="0" w:noVBand="1"/>
      </w:tblPr>
      <w:tblGrid>
        <w:gridCol w:w="5245"/>
        <w:gridCol w:w="1384"/>
        <w:gridCol w:w="1384"/>
        <w:gridCol w:w="1460"/>
      </w:tblGrid>
      <w:tr w:rsidR="005A38AD" w:rsidRPr="00751C3A" w:rsidTr="00465975">
        <w:trPr>
          <w:trHeight w:val="255"/>
        </w:trPr>
        <w:tc>
          <w:tcPr>
            <w:tcW w:w="5245"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rPr>
                <w:rFonts w:ascii="Arial" w:eastAsia="Times New Roman" w:hAnsi="Arial" w:cs="Arial"/>
                <w:b/>
                <w:bCs/>
                <w:color w:val="000000"/>
                <w:sz w:val="20"/>
                <w:szCs w:val="20"/>
              </w:rPr>
            </w:pPr>
          </w:p>
        </w:tc>
        <w:tc>
          <w:tcPr>
            <w:tcW w:w="1384"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84"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245"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1001 ODRŽAVANJE OBJEKATA I UREĐAJA KOMUNALNE INFRASTRUKTURE</w:t>
            </w:r>
          </w:p>
        </w:tc>
        <w:tc>
          <w:tcPr>
            <w:tcW w:w="1384"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1.007.800,00</w:t>
            </w:r>
          </w:p>
        </w:tc>
        <w:tc>
          <w:tcPr>
            <w:tcW w:w="1384"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1.007.800,00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1.007.800,00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Održavanje parkova i zelenih površina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86.800,00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86.800,00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86.800,00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Održavanje i uređenje javnih površina (svi Mjesni odbori)</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315.700,00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315.700,00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315.700,00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A100003 Održavanje i uređenje javnih površina - odvodni kanali</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27.800,00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27.800,00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27.800,00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A100004 Održavanje i uređenje javnih površina - dekoracija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9.500,00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9.500,00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A100005 Održavanje i uređenje javnih površina - stočarski putovi i protupožarni prolazi</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A100006 Održavanje i uređenje javne površine - plaže</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A100007 Održavanje čistoće javnih površina - čišćenje i pometanje</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A100008 Održavanje javne rasvjete</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88.900,00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88.900,00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88.900,00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A100009 Energetska usluga javne rasvjete</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48.000,00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48.000,00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48.000,00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A100010 Postavljanje ormara javne rasvjete</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A100011 Električna energija za javnu rasvjetu</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82.000,00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82.000,00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82.000,00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A100012 Održavanje nerazvrstanih cesta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183.200,00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183.200,00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183.200,00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A100013 Održavanje pješačkih staza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34.600,00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34.600,00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34.600,00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A100014 Sanacija urušenih područja uz obalu</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20.000,00</w:t>
            </w:r>
          </w:p>
        </w:tc>
      </w:tr>
    </w:tbl>
    <w:p w:rsidR="00465975" w:rsidRPr="00751C3A" w:rsidRDefault="00465975" w:rsidP="000369CB">
      <w:pPr>
        <w:pStyle w:val="Tijeloteksta"/>
        <w:spacing w:after="0"/>
        <w:jc w:val="both"/>
      </w:pPr>
    </w:p>
    <w:p w:rsidR="0058629D" w:rsidRPr="00751C3A" w:rsidRDefault="007C10C4" w:rsidP="000369CB">
      <w:pPr>
        <w:pStyle w:val="Tijeloteksta"/>
        <w:spacing w:after="0"/>
        <w:jc w:val="both"/>
      </w:pPr>
      <w:r w:rsidRPr="00751C3A">
        <w:lastRenderedPageBreak/>
        <w:t xml:space="preserve">Cilj: </w:t>
      </w:r>
      <w:r w:rsidR="0058629D" w:rsidRPr="00751C3A">
        <w:t>Razvoj zelene infrastrukture, biciklističkih staza i šetnica nužan je aspekt turističke ponude Grada koji omogućuje razvoj aktivnog, outdoor, turizma te promovira Grad Pag kao ciklo-turističku destinaciju. Uz to, izgradnja infrastrukture potiče aktivan i zdrav životni stil građana Grada Paga. Mjera se također odnosi i na primjerenu zaštitu prirodne baštine i okoliša.</w:t>
      </w:r>
    </w:p>
    <w:p w:rsidR="00465975" w:rsidRPr="00751C3A" w:rsidRDefault="007C10C4" w:rsidP="000369CB">
      <w:pPr>
        <w:pStyle w:val="Tijeloteksta"/>
        <w:spacing w:after="0"/>
        <w:jc w:val="both"/>
      </w:pPr>
      <w:r w:rsidRPr="00751C3A">
        <w:t xml:space="preserve">Pokazatelji: </w:t>
      </w:r>
      <w:r w:rsidR="0058629D" w:rsidRPr="00751C3A">
        <w:t>Poboljšanje uvjeta i organizacije cestovnog prometa i prometa u mirovanju te unaprjeđenje prometne infrastrukture</w:t>
      </w:r>
    </w:p>
    <w:p w:rsidR="00465975" w:rsidRPr="00751C3A" w:rsidRDefault="00465975" w:rsidP="000369CB">
      <w:pPr>
        <w:pStyle w:val="Tijeloteksta"/>
        <w:spacing w:after="0"/>
        <w:jc w:val="both"/>
      </w:pPr>
    </w:p>
    <w:tbl>
      <w:tblPr>
        <w:tblW w:w="9385" w:type="dxa"/>
        <w:tblLook w:val="04A0" w:firstRow="1" w:lastRow="0" w:firstColumn="1" w:lastColumn="0" w:noHBand="0" w:noVBand="1"/>
      </w:tblPr>
      <w:tblGrid>
        <w:gridCol w:w="5245"/>
        <w:gridCol w:w="1340"/>
        <w:gridCol w:w="1340"/>
        <w:gridCol w:w="1460"/>
      </w:tblGrid>
      <w:tr w:rsidR="005A38AD" w:rsidRPr="00751C3A" w:rsidTr="00465975">
        <w:trPr>
          <w:trHeight w:val="255"/>
        </w:trPr>
        <w:tc>
          <w:tcPr>
            <w:tcW w:w="5245"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245"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1003 UREĐENJE STANJA U PROSTORU</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792.000,00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792.000,00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792.000,00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Tekući projekt T100001 Geodetsko - katastarske usluge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34.500,00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34.500,00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34.500,00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Tekući projekt T100002 Izmjera i evidentiranje objekata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17.500,00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17.500,00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17.500,00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Tekući projekt T100003 Financiranje katastarskih izmjera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635.000,00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635.000,00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635.000,00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Tekući projekt T100004 Uklanjanje ruševnih i oštećenih objekata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52.500,00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52.500,00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52.500,00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Tekući projekt T100005 Sanacija urušenih i oštećenih objekata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52.500,00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52.500,00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52.500,00</w:t>
            </w:r>
          </w:p>
        </w:tc>
      </w:tr>
    </w:tbl>
    <w:p w:rsidR="00465975" w:rsidRPr="00751C3A" w:rsidRDefault="005A38AD" w:rsidP="000369CB">
      <w:pPr>
        <w:pStyle w:val="Tijeloteksta"/>
        <w:spacing w:after="0"/>
        <w:jc w:val="both"/>
      </w:pPr>
      <w:r w:rsidRPr="00751C3A">
        <w:t>Cilj: uređenje stanja u prostoru kroz sanaciju oštećenih objekata te kroz provođenje katastarske izmjere na području Grada</w:t>
      </w:r>
    </w:p>
    <w:p w:rsidR="00465975" w:rsidRPr="00751C3A" w:rsidRDefault="005A38AD" w:rsidP="000369CB">
      <w:pPr>
        <w:pStyle w:val="Tijeloteksta"/>
        <w:spacing w:after="0"/>
        <w:jc w:val="both"/>
      </w:pPr>
      <w:r w:rsidRPr="00751C3A">
        <w:t>Pokazatelji: broj saniranih objekata; izmjerena površina</w:t>
      </w:r>
    </w:p>
    <w:p w:rsidR="005A38AD" w:rsidRPr="00751C3A" w:rsidRDefault="005A38AD" w:rsidP="000369CB">
      <w:pPr>
        <w:pStyle w:val="Tijeloteksta"/>
        <w:spacing w:after="0"/>
        <w:jc w:val="both"/>
      </w:pPr>
    </w:p>
    <w:tbl>
      <w:tblPr>
        <w:tblW w:w="9385" w:type="dxa"/>
        <w:tblLook w:val="04A0" w:firstRow="1" w:lastRow="0" w:firstColumn="1" w:lastColumn="0" w:noHBand="0" w:noVBand="1"/>
      </w:tblPr>
      <w:tblGrid>
        <w:gridCol w:w="5245"/>
        <w:gridCol w:w="1340"/>
        <w:gridCol w:w="1340"/>
        <w:gridCol w:w="1460"/>
      </w:tblGrid>
      <w:tr w:rsidR="005A38AD" w:rsidRPr="00751C3A" w:rsidTr="00465975">
        <w:trPr>
          <w:trHeight w:val="255"/>
        </w:trPr>
        <w:tc>
          <w:tcPr>
            <w:tcW w:w="5245"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5A38AD" w:rsidRPr="00751C3A" w:rsidRDefault="005A38A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245"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1007 ODRŽAVANJE I UREĐENJE JAVNIH GRAĐEVINA I PROSTORA GRADA</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44.300,00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44.300,00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44.300,00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Održavanje i uređenje gradskih prostora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44.300,00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44.300,00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44.300,00</w:t>
            </w:r>
          </w:p>
        </w:tc>
      </w:tr>
    </w:tbl>
    <w:p w:rsidR="00465975" w:rsidRPr="00751C3A" w:rsidRDefault="005A38AD" w:rsidP="000369CB">
      <w:pPr>
        <w:pStyle w:val="Tijeloteksta"/>
        <w:spacing w:after="0"/>
        <w:jc w:val="both"/>
      </w:pPr>
      <w:r w:rsidRPr="00751C3A">
        <w:t xml:space="preserve">Cilj: uređenje javnih gradskih prostora </w:t>
      </w:r>
      <w:r w:rsidR="00D3020B" w:rsidRPr="00751C3A">
        <w:t>čime</w:t>
      </w:r>
      <w:r w:rsidRPr="00751C3A">
        <w:t xml:space="preserve"> se želi poboljšati </w:t>
      </w:r>
      <w:r w:rsidR="00D3020B" w:rsidRPr="00751C3A">
        <w:t>život stanovništva</w:t>
      </w:r>
    </w:p>
    <w:p w:rsidR="00465975" w:rsidRPr="00751C3A" w:rsidRDefault="00D3020B" w:rsidP="000369CB">
      <w:pPr>
        <w:pStyle w:val="Tijeloteksta"/>
        <w:spacing w:after="0"/>
        <w:jc w:val="both"/>
      </w:pPr>
      <w:r w:rsidRPr="00751C3A">
        <w:t>Pokazatelji: broj uređenih prostora; kvadratura uređene površine</w:t>
      </w:r>
    </w:p>
    <w:p w:rsidR="00D3020B" w:rsidRPr="00751C3A" w:rsidRDefault="00D3020B" w:rsidP="000369CB">
      <w:pPr>
        <w:pStyle w:val="Tijeloteksta"/>
        <w:spacing w:after="0"/>
        <w:jc w:val="both"/>
      </w:pPr>
    </w:p>
    <w:tbl>
      <w:tblPr>
        <w:tblW w:w="9385" w:type="dxa"/>
        <w:tblLook w:val="04A0" w:firstRow="1" w:lastRow="0" w:firstColumn="1" w:lastColumn="0" w:noHBand="0" w:noVBand="1"/>
      </w:tblPr>
      <w:tblGrid>
        <w:gridCol w:w="5245"/>
        <w:gridCol w:w="1340"/>
        <w:gridCol w:w="1340"/>
        <w:gridCol w:w="1460"/>
      </w:tblGrid>
      <w:tr w:rsidR="00D3020B" w:rsidRPr="00751C3A" w:rsidTr="00465975">
        <w:trPr>
          <w:trHeight w:val="255"/>
        </w:trPr>
        <w:tc>
          <w:tcPr>
            <w:tcW w:w="5245"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245"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1008 UPRAVLJANJE IMOVINOM</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15.800,00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15.800,00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15.800,00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Programska rješenja upravljanja imovinom</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2.500,00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K100001 Otkup i raspolaganje imovinom</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13.300,00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13.300,00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13.300,00</w:t>
            </w:r>
          </w:p>
        </w:tc>
      </w:tr>
    </w:tbl>
    <w:p w:rsidR="00465975" w:rsidRPr="00751C3A" w:rsidRDefault="00D3020B" w:rsidP="000369CB">
      <w:pPr>
        <w:pStyle w:val="Tijeloteksta"/>
        <w:spacing w:after="0"/>
        <w:jc w:val="both"/>
      </w:pPr>
      <w:r w:rsidRPr="00751C3A">
        <w:t>Cilj: efikasno upravljanje gradskom imovinom</w:t>
      </w:r>
    </w:p>
    <w:p w:rsidR="00465975" w:rsidRPr="00751C3A" w:rsidRDefault="00D3020B" w:rsidP="000369CB">
      <w:pPr>
        <w:pStyle w:val="Tijeloteksta"/>
        <w:spacing w:after="0"/>
        <w:jc w:val="both"/>
      </w:pPr>
      <w:r w:rsidRPr="00751C3A">
        <w:t xml:space="preserve">Pokazatelji: broj nekretnina u raspolaganju; </w:t>
      </w:r>
    </w:p>
    <w:tbl>
      <w:tblPr>
        <w:tblW w:w="9385" w:type="dxa"/>
        <w:tblLook w:val="04A0" w:firstRow="1" w:lastRow="0" w:firstColumn="1" w:lastColumn="0" w:noHBand="0" w:noVBand="1"/>
      </w:tblPr>
      <w:tblGrid>
        <w:gridCol w:w="5245"/>
        <w:gridCol w:w="1340"/>
        <w:gridCol w:w="1340"/>
        <w:gridCol w:w="1460"/>
      </w:tblGrid>
      <w:tr w:rsidR="00D3020B" w:rsidRPr="00751C3A" w:rsidTr="00465975">
        <w:trPr>
          <w:trHeight w:val="255"/>
        </w:trPr>
        <w:tc>
          <w:tcPr>
            <w:tcW w:w="5245"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245"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 xml:space="preserve">Program 1009 PRVENTIVNE MJERE ZAŠTITE STANOVNIŠTVA I ZBRINJAVANJE ŽIVOTINJA </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26.000,00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26.000,00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26.000,00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Mjere deratizacije i dezinsekcije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Zaštita životinja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11.000,00</w:t>
            </w:r>
          </w:p>
        </w:tc>
      </w:tr>
    </w:tbl>
    <w:p w:rsidR="00465975" w:rsidRPr="00751C3A" w:rsidRDefault="00D3020B" w:rsidP="000369CB">
      <w:pPr>
        <w:pStyle w:val="Tijeloteksta"/>
        <w:spacing w:after="0"/>
        <w:jc w:val="both"/>
      </w:pPr>
      <w:r w:rsidRPr="00751C3A">
        <w:t>Cilj: smanjenje broja štetočina na javnim prostorima, tretiranje komaraca te zaštita kućnih ljubimaca</w:t>
      </w:r>
    </w:p>
    <w:p w:rsidR="00D3020B" w:rsidRPr="00751C3A" w:rsidRDefault="00D3020B" w:rsidP="000369CB">
      <w:pPr>
        <w:pStyle w:val="Tijeloteksta"/>
        <w:spacing w:after="0"/>
        <w:jc w:val="both"/>
      </w:pPr>
      <w:r w:rsidRPr="00751C3A">
        <w:t>Pokazatelji: broj aktivnosti u provođenju mjera deratizacije i dezinsekcije; broj tretiranih kućnih ljubimaca</w:t>
      </w:r>
    </w:p>
    <w:p w:rsidR="00465975" w:rsidRPr="00751C3A" w:rsidRDefault="00465975" w:rsidP="000369CB">
      <w:pPr>
        <w:pStyle w:val="Tijeloteksta"/>
        <w:spacing w:after="0"/>
        <w:jc w:val="both"/>
      </w:pPr>
    </w:p>
    <w:p w:rsidR="00465975" w:rsidRPr="00751C3A" w:rsidRDefault="00465975" w:rsidP="000369CB">
      <w:pPr>
        <w:pStyle w:val="Tijeloteksta"/>
        <w:spacing w:after="0"/>
        <w:jc w:val="both"/>
      </w:pPr>
    </w:p>
    <w:p w:rsidR="00465975" w:rsidRPr="00751C3A" w:rsidRDefault="00465975" w:rsidP="000369CB">
      <w:pPr>
        <w:pStyle w:val="Tijeloteksta"/>
        <w:spacing w:after="0"/>
        <w:jc w:val="both"/>
      </w:pPr>
    </w:p>
    <w:p w:rsidR="00465975" w:rsidRPr="00751C3A" w:rsidRDefault="00465975" w:rsidP="000369CB">
      <w:pPr>
        <w:pStyle w:val="Tijeloteksta"/>
        <w:spacing w:after="0"/>
        <w:jc w:val="both"/>
      </w:pPr>
    </w:p>
    <w:tbl>
      <w:tblPr>
        <w:tblW w:w="9473" w:type="dxa"/>
        <w:tblLook w:val="04A0" w:firstRow="1" w:lastRow="0" w:firstColumn="1" w:lastColumn="0" w:noHBand="0" w:noVBand="1"/>
      </w:tblPr>
      <w:tblGrid>
        <w:gridCol w:w="5245"/>
        <w:gridCol w:w="1384"/>
        <w:gridCol w:w="1384"/>
        <w:gridCol w:w="1460"/>
      </w:tblGrid>
      <w:tr w:rsidR="00D3020B" w:rsidRPr="00751C3A" w:rsidTr="00465975">
        <w:trPr>
          <w:trHeight w:val="255"/>
        </w:trPr>
        <w:tc>
          <w:tcPr>
            <w:tcW w:w="5245" w:type="dxa"/>
            <w:tcBorders>
              <w:top w:val="nil"/>
              <w:left w:val="nil"/>
              <w:bottom w:val="nil"/>
              <w:right w:val="nil"/>
            </w:tcBorders>
            <w:shd w:val="clear" w:color="000000" w:fill="000080"/>
            <w:noWrap/>
            <w:vAlign w:val="bottom"/>
          </w:tcPr>
          <w:p w:rsidR="00D3020B" w:rsidRPr="00751C3A" w:rsidRDefault="00D3020B" w:rsidP="00465975">
            <w:pPr>
              <w:spacing w:after="0" w:line="240" w:lineRule="auto"/>
              <w:rPr>
                <w:rFonts w:ascii="Arial" w:eastAsia="Times New Roman" w:hAnsi="Arial" w:cs="Arial"/>
                <w:b/>
                <w:bCs/>
                <w:color w:val="FFFFFF"/>
                <w:sz w:val="20"/>
                <w:szCs w:val="20"/>
              </w:rPr>
            </w:pPr>
          </w:p>
        </w:tc>
        <w:tc>
          <w:tcPr>
            <w:tcW w:w="1384" w:type="dxa"/>
            <w:tcBorders>
              <w:top w:val="nil"/>
              <w:left w:val="nil"/>
              <w:bottom w:val="nil"/>
              <w:right w:val="nil"/>
            </w:tcBorders>
            <w:shd w:val="clear" w:color="000000" w:fill="000080"/>
            <w:noWrap/>
            <w:vAlign w:val="bottom"/>
          </w:tcPr>
          <w:p w:rsidR="00D3020B" w:rsidRPr="00751C3A" w:rsidRDefault="00D3020B"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2023</w:t>
            </w:r>
          </w:p>
        </w:tc>
        <w:tc>
          <w:tcPr>
            <w:tcW w:w="1384" w:type="dxa"/>
            <w:tcBorders>
              <w:top w:val="nil"/>
              <w:left w:val="nil"/>
              <w:bottom w:val="nil"/>
              <w:right w:val="nil"/>
            </w:tcBorders>
            <w:shd w:val="clear" w:color="000000" w:fill="000080"/>
            <w:noWrap/>
            <w:vAlign w:val="bottom"/>
          </w:tcPr>
          <w:p w:rsidR="00D3020B" w:rsidRPr="00751C3A" w:rsidRDefault="00D3020B"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2024</w:t>
            </w:r>
          </w:p>
        </w:tc>
        <w:tc>
          <w:tcPr>
            <w:tcW w:w="1460" w:type="dxa"/>
            <w:tcBorders>
              <w:top w:val="nil"/>
              <w:left w:val="nil"/>
              <w:bottom w:val="nil"/>
              <w:right w:val="nil"/>
            </w:tcBorders>
            <w:shd w:val="clear" w:color="000000" w:fill="000080"/>
            <w:noWrap/>
            <w:vAlign w:val="bottom"/>
          </w:tcPr>
          <w:p w:rsidR="00D3020B" w:rsidRPr="00751C3A" w:rsidRDefault="00D3020B"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2025</w:t>
            </w:r>
          </w:p>
        </w:tc>
      </w:tr>
      <w:tr w:rsidR="00465975" w:rsidRPr="00751C3A" w:rsidTr="00465975">
        <w:trPr>
          <w:trHeight w:val="255"/>
        </w:trPr>
        <w:tc>
          <w:tcPr>
            <w:tcW w:w="5245"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Razdjel 005 UPRAVNI ODJEL ZA PROSTORNO UREĐENJE I GOSPODARSTVO</w:t>
            </w:r>
          </w:p>
        </w:tc>
        <w:tc>
          <w:tcPr>
            <w:tcW w:w="1384"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2.946.300,00</w:t>
            </w:r>
          </w:p>
        </w:tc>
        <w:tc>
          <w:tcPr>
            <w:tcW w:w="1384"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2.946.300,00</w:t>
            </w:r>
          </w:p>
        </w:tc>
        <w:tc>
          <w:tcPr>
            <w:tcW w:w="1460" w:type="dxa"/>
            <w:tcBorders>
              <w:top w:val="nil"/>
              <w:left w:val="nil"/>
              <w:bottom w:val="nil"/>
              <w:right w:val="nil"/>
            </w:tcBorders>
            <w:shd w:val="clear" w:color="000000" w:fill="000080"/>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2.946.300,00</w:t>
            </w:r>
          </w:p>
        </w:tc>
      </w:tr>
      <w:tr w:rsidR="00465975" w:rsidRPr="00751C3A" w:rsidTr="00465975">
        <w:trPr>
          <w:trHeight w:val="255"/>
        </w:trPr>
        <w:tc>
          <w:tcPr>
            <w:tcW w:w="5245"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Glava 00501 UPRAVNI ODJEL ZA PROSTORNO UREĐENJE I GOSPODARSTVO</w:t>
            </w:r>
          </w:p>
        </w:tc>
        <w:tc>
          <w:tcPr>
            <w:tcW w:w="1384"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2.946.300,00</w:t>
            </w:r>
          </w:p>
        </w:tc>
        <w:tc>
          <w:tcPr>
            <w:tcW w:w="1384"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2.946.300,00</w:t>
            </w:r>
          </w:p>
        </w:tc>
        <w:tc>
          <w:tcPr>
            <w:tcW w:w="1460" w:type="dxa"/>
            <w:tcBorders>
              <w:top w:val="nil"/>
              <w:left w:val="nil"/>
              <w:bottom w:val="nil"/>
              <w:right w:val="nil"/>
            </w:tcBorders>
            <w:shd w:val="clear" w:color="000000" w:fill="0000FF"/>
            <w:noWrap/>
            <w:vAlign w:val="bottom"/>
            <w:hideMark/>
          </w:tcPr>
          <w:p w:rsidR="00465975" w:rsidRPr="00751C3A" w:rsidRDefault="00465975" w:rsidP="00465975">
            <w:pPr>
              <w:spacing w:after="0" w:line="240" w:lineRule="auto"/>
              <w:jc w:val="right"/>
              <w:rPr>
                <w:rFonts w:ascii="Arial" w:eastAsia="Times New Roman" w:hAnsi="Arial" w:cs="Arial"/>
                <w:b/>
                <w:bCs/>
                <w:color w:val="FFFFFF"/>
                <w:sz w:val="20"/>
                <w:szCs w:val="20"/>
              </w:rPr>
            </w:pPr>
            <w:r w:rsidRPr="00751C3A">
              <w:rPr>
                <w:rFonts w:ascii="Arial" w:eastAsia="Times New Roman" w:hAnsi="Arial" w:cs="Arial"/>
                <w:b/>
                <w:bCs/>
                <w:color w:val="FFFFFF"/>
                <w:sz w:val="20"/>
                <w:szCs w:val="20"/>
              </w:rPr>
              <w:t>2.946.300,00</w:t>
            </w:r>
          </w:p>
        </w:tc>
      </w:tr>
    </w:tbl>
    <w:p w:rsidR="00465975" w:rsidRPr="00751C3A" w:rsidRDefault="00465975" w:rsidP="000369CB">
      <w:pPr>
        <w:pStyle w:val="Tijeloteksta"/>
        <w:spacing w:after="0"/>
        <w:jc w:val="both"/>
      </w:pPr>
    </w:p>
    <w:p w:rsidR="00465975" w:rsidRPr="00751C3A" w:rsidRDefault="00465975" w:rsidP="000369CB">
      <w:pPr>
        <w:pStyle w:val="Tijeloteksta"/>
        <w:spacing w:after="0"/>
        <w:jc w:val="both"/>
      </w:pPr>
    </w:p>
    <w:tbl>
      <w:tblPr>
        <w:tblW w:w="9669" w:type="dxa"/>
        <w:tblLook w:val="04A0" w:firstRow="1" w:lastRow="0" w:firstColumn="1" w:lastColumn="0" w:noHBand="0" w:noVBand="1"/>
      </w:tblPr>
      <w:tblGrid>
        <w:gridCol w:w="5529"/>
        <w:gridCol w:w="1340"/>
        <w:gridCol w:w="1340"/>
        <w:gridCol w:w="1460"/>
      </w:tblGrid>
      <w:tr w:rsidR="00D3020B" w:rsidRPr="00751C3A" w:rsidTr="00465975">
        <w:trPr>
          <w:trHeight w:val="255"/>
        </w:trPr>
        <w:tc>
          <w:tcPr>
            <w:tcW w:w="5529"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529"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1000 PRIPREMA I DONOŠENJE AKATA IZ DJELOKRUGA TIJELA</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221.200,00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221.200,00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221.200,00</w:t>
            </w:r>
          </w:p>
        </w:tc>
      </w:tr>
      <w:tr w:rsidR="00465975" w:rsidRPr="00751C3A" w:rsidTr="00465975">
        <w:trPr>
          <w:trHeight w:val="255"/>
        </w:trPr>
        <w:tc>
          <w:tcPr>
            <w:tcW w:w="5529"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Stručno, administrativno i tehničko osoblje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213.800,00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213.800,00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213.800,00</w:t>
            </w:r>
          </w:p>
        </w:tc>
      </w:tr>
      <w:tr w:rsidR="00465975" w:rsidRPr="00751C3A" w:rsidTr="00465975">
        <w:trPr>
          <w:trHeight w:val="255"/>
        </w:trPr>
        <w:tc>
          <w:tcPr>
            <w:tcW w:w="5529"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Ostali rashodi odjela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7.400,00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7.400,00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7.400,00</w:t>
            </w:r>
          </w:p>
        </w:tc>
      </w:tr>
    </w:tbl>
    <w:p w:rsidR="007C10C4" w:rsidRPr="00751C3A" w:rsidRDefault="007C10C4" w:rsidP="007C10C4">
      <w:pPr>
        <w:pStyle w:val="Tijeloteksta"/>
        <w:spacing w:after="0"/>
        <w:jc w:val="both"/>
      </w:pPr>
      <w:r w:rsidRPr="00751C3A">
        <w:t>Cilj: Osiguravanje nesmetanog obavljanja poslova kroz optimalni broj djelatnika gradske uprave radi zadovoljavanja potreba građana u okviru zakonom utvrđenih zadaća JLS. Provođenje politike plaća i drugih materijalnih prava zaposlenika u skladu s proračunskim mogućnostima te osiguravanje sredstava za nesmetano obavljanje upravnih, stručnih, administrativnih i ostalih poslova Odjela.</w:t>
      </w:r>
    </w:p>
    <w:p w:rsidR="00465975" w:rsidRPr="00751C3A" w:rsidRDefault="007C10C4" w:rsidP="000369CB">
      <w:pPr>
        <w:pStyle w:val="Tijeloteksta"/>
        <w:spacing w:after="0"/>
        <w:jc w:val="both"/>
      </w:pPr>
      <w:r w:rsidRPr="00751C3A">
        <w:t>Pokazatelji: Ispunjavanje zakonskih obveza i obveza iz Pravilnika o radu, ispunjavanje obveza po posebnim propisima, redovito i nesmetano odvijanje procesa rada upravnih tijela Grada</w:t>
      </w:r>
    </w:p>
    <w:p w:rsidR="00465975" w:rsidRPr="00751C3A" w:rsidRDefault="00465975" w:rsidP="000369CB">
      <w:pPr>
        <w:pStyle w:val="Tijeloteksta"/>
        <w:spacing w:after="0"/>
        <w:jc w:val="both"/>
      </w:pPr>
    </w:p>
    <w:tbl>
      <w:tblPr>
        <w:tblW w:w="9527" w:type="dxa"/>
        <w:tblLook w:val="04A0" w:firstRow="1" w:lastRow="0" w:firstColumn="1" w:lastColumn="0" w:noHBand="0" w:noVBand="1"/>
      </w:tblPr>
      <w:tblGrid>
        <w:gridCol w:w="5387"/>
        <w:gridCol w:w="1340"/>
        <w:gridCol w:w="1340"/>
        <w:gridCol w:w="1460"/>
      </w:tblGrid>
      <w:tr w:rsidR="00D3020B" w:rsidRPr="00751C3A" w:rsidTr="00465975">
        <w:trPr>
          <w:trHeight w:val="255"/>
        </w:trPr>
        <w:tc>
          <w:tcPr>
            <w:tcW w:w="5387"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387"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1001 PROSTORNO UREĐENJE I UNAPREĐENJE STANOVANJA</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54.600,00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54.600,00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54.600,00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Geodetsko katastarske usluge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Prostorno planska dokumentacija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53.300,00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53.300,00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53.300,00</w:t>
            </w:r>
          </w:p>
        </w:tc>
      </w:tr>
    </w:tbl>
    <w:p w:rsidR="00465975" w:rsidRPr="00751C3A" w:rsidRDefault="0066177B" w:rsidP="000369CB">
      <w:pPr>
        <w:pStyle w:val="Tijeloteksta"/>
        <w:spacing w:after="0"/>
        <w:jc w:val="both"/>
      </w:pPr>
      <w:r w:rsidRPr="00751C3A">
        <w:t>Cilj: Osigurati konkurentno gospodarstvo na području Grada Paga i omogućiti snažniji razvoj poduzetništva te modernizaciju kapaciteta infrastrukture za obavljanje gospodarskih djelatnosti na održiv način</w:t>
      </w:r>
    </w:p>
    <w:p w:rsidR="00465975" w:rsidRPr="00751C3A" w:rsidRDefault="0066177B" w:rsidP="000369CB">
      <w:pPr>
        <w:pStyle w:val="Tijeloteksta"/>
        <w:spacing w:after="0"/>
        <w:jc w:val="both"/>
      </w:pPr>
      <w:r w:rsidRPr="00751C3A">
        <w:t>Pokazatelji: Broj novih malih i srednjih poduzeća po godini</w:t>
      </w:r>
    </w:p>
    <w:p w:rsidR="00465975" w:rsidRPr="00751C3A" w:rsidRDefault="00465975" w:rsidP="000369CB">
      <w:pPr>
        <w:pStyle w:val="Tijeloteksta"/>
        <w:spacing w:after="0"/>
        <w:jc w:val="both"/>
      </w:pPr>
    </w:p>
    <w:tbl>
      <w:tblPr>
        <w:tblW w:w="9527" w:type="dxa"/>
        <w:tblLook w:val="04A0" w:firstRow="1" w:lastRow="0" w:firstColumn="1" w:lastColumn="0" w:noHBand="0" w:noVBand="1"/>
      </w:tblPr>
      <w:tblGrid>
        <w:gridCol w:w="5387"/>
        <w:gridCol w:w="1340"/>
        <w:gridCol w:w="1340"/>
        <w:gridCol w:w="1460"/>
      </w:tblGrid>
      <w:tr w:rsidR="00D3020B" w:rsidRPr="00751C3A" w:rsidTr="00465975">
        <w:trPr>
          <w:trHeight w:val="255"/>
        </w:trPr>
        <w:tc>
          <w:tcPr>
            <w:tcW w:w="5387"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387"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1003 GOSPODARSTVO I TURIZAM</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273.000,00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273.000,00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273.000,00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Subvencije, donacije i pomoći</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46.300,00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46.300,00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46.300,00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Investicijske studije i programi</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A100003 Lokalna akcijska grupa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4.500,00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A100004 Zdravstveni turizam - valorizacija ljekovitog blata, uređenje područja "Lokunja"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 xml:space="preserve">Aktivnost A100005 </w:t>
            </w:r>
            <w:r w:rsidR="00751C3A">
              <w:rPr>
                <w:rFonts w:ascii="Arial" w:eastAsia="Times New Roman" w:hAnsi="Arial" w:cs="Arial"/>
                <w:b/>
                <w:bCs/>
                <w:color w:val="000000"/>
                <w:sz w:val="20"/>
                <w:szCs w:val="20"/>
              </w:rPr>
              <w:t>Sufinanciranje prog</w:t>
            </w:r>
            <w:r w:rsidRPr="00751C3A">
              <w:rPr>
                <w:rFonts w:ascii="Arial" w:eastAsia="Times New Roman" w:hAnsi="Arial" w:cs="Arial"/>
                <w:b/>
                <w:bCs/>
                <w:color w:val="000000"/>
                <w:sz w:val="20"/>
                <w:szCs w:val="20"/>
              </w:rPr>
              <w:t>r</w:t>
            </w:r>
            <w:r w:rsidR="00751C3A">
              <w:rPr>
                <w:rFonts w:ascii="Arial" w:eastAsia="Times New Roman" w:hAnsi="Arial" w:cs="Arial"/>
                <w:b/>
                <w:bCs/>
                <w:color w:val="000000"/>
                <w:sz w:val="20"/>
                <w:szCs w:val="20"/>
              </w:rPr>
              <w:t>a</w:t>
            </w:r>
            <w:bookmarkStart w:id="1" w:name="_GoBack"/>
            <w:bookmarkEnd w:id="1"/>
            <w:r w:rsidRPr="00751C3A">
              <w:rPr>
                <w:rFonts w:ascii="Arial" w:eastAsia="Times New Roman" w:hAnsi="Arial" w:cs="Arial"/>
                <w:b/>
                <w:bCs/>
                <w:color w:val="000000"/>
                <w:sz w:val="20"/>
                <w:szCs w:val="20"/>
              </w:rPr>
              <w:t>ma Turističke zajednice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K100001 Uređenje poslovne zone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159.200,00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159.200,00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159.200,00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K100002 Izgradnja lokalne komunikacijske infrastrukture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r>
    </w:tbl>
    <w:p w:rsidR="00465975" w:rsidRPr="00751C3A" w:rsidRDefault="00465975" w:rsidP="000369CB">
      <w:pPr>
        <w:pStyle w:val="Tijeloteksta"/>
        <w:spacing w:after="0"/>
        <w:jc w:val="both"/>
      </w:pPr>
    </w:p>
    <w:p w:rsidR="00465975" w:rsidRPr="00751C3A" w:rsidRDefault="00C026AE" w:rsidP="000369CB">
      <w:pPr>
        <w:pStyle w:val="Tijeloteksta"/>
        <w:spacing w:after="0"/>
        <w:jc w:val="both"/>
      </w:pPr>
      <w:r w:rsidRPr="00751C3A">
        <w:t>Cilj: povećanje konkurentnosti gospodarstva  i povećanje turističke ponude</w:t>
      </w:r>
    </w:p>
    <w:p w:rsidR="00C026AE" w:rsidRPr="00751C3A" w:rsidRDefault="00C026AE" w:rsidP="000369CB">
      <w:pPr>
        <w:pStyle w:val="Tijeloteksta"/>
        <w:spacing w:after="0"/>
        <w:jc w:val="both"/>
      </w:pPr>
      <w:r w:rsidRPr="00751C3A">
        <w:t>Pokazatelji: broj trgovačkih društava i obrta; broj turista</w:t>
      </w:r>
    </w:p>
    <w:p w:rsidR="00465975" w:rsidRPr="00751C3A" w:rsidRDefault="00465975" w:rsidP="000369CB">
      <w:pPr>
        <w:pStyle w:val="Tijeloteksta"/>
        <w:spacing w:after="0"/>
        <w:jc w:val="both"/>
      </w:pPr>
    </w:p>
    <w:p w:rsidR="00465975" w:rsidRPr="00751C3A" w:rsidRDefault="00465975" w:rsidP="000369CB">
      <w:pPr>
        <w:pStyle w:val="Tijeloteksta"/>
        <w:spacing w:after="0"/>
        <w:jc w:val="both"/>
      </w:pPr>
    </w:p>
    <w:tbl>
      <w:tblPr>
        <w:tblW w:w="9473" w:type="dxa"/>
        <w:tblLook w:val="04A0" w:firstRow="1" w:lastRow="0" w:firstColumn="1" w:lastColumn="0" w:noHBand="0" w:noVBand="1"/>
      </w:tblPr>
      <w:tblGrid>
        <w:gridCol w:w="5245"/>
        <w:gridCol w:w="1384"/>
        <w:gridCol w:w="1384"/>
        <w:gridCol w:w="1460"/>
      </w:tblGrid>
      <w:tr w:rsidR="00D3020B" w:rsidRPr="00751C3A" w:rsidTr="00465975">
        <w:trPr>
          <w:trHeight w:val="255"/>
        </w:trPr>
        <w:tc>
          <w:tcPr>
            <w:tcW w:w="5245"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rPr>
                <w:rFonts w:ascii="Arial" w:eastAsia="Times New Roman" w:hAnsi="Arial" w:cs="Arial"/>
                <w:b/>
                <w:bCs/>
                <w:color w:val="000000"/>
                <w:sz w:val="20"/>
                <w:szCs w:val="20"/>
              </w:rPr>
            </w:pPr>
          </w:p>
        </w:tc>
        <w:tc>
          <w:tcPr>
            <w:tcW w:w="1384"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84"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D3020B" w:rsidRPr="00751C3A" w:rsidRDefault="00D3020B"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245"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1004 UREĐENJE I GRADNJA JAVNO PROMETNIH POVRŠINA</w:t>
            </w:r>
          </w:p>
        </w:tc>
        <w:tc>
          <w:tcPr>
            <w:tcW w:w="1384"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1.064.700,00</w:t>
            </w:r>
          </w:p>
        </w:tc>
        <w:tc>
          <w:tcPr>
            <w:tcW w:w="1384"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1.064.700,00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1.064.700,00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K100001 Projekti prometnih površina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K100002 Autobusni kolodvor</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46.400,00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46.400,00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46.400,00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K100003 Gradska tržnica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19.900,00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19.900,00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19.900,00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K100004 Uređenje luka na području Grada Paga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710.000,00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710.000,00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710.000,00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K100005 Projekt uređenja parkova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K100006 Uređenje biciklističkih staza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K100007 Projekt popločavanja ulica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16.000,00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16.000,00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16.000,00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K100008 Uređenje prostora Uhlinac</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2.700,00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K100009 Uređenje šetnica i plaža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93.000,00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93.000,00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K100010 Uređenje ulaza u grad Pag</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K100011 Postavljanje i uređenje dječjih igrališta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69.000,00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69.000,00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69.000,00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K100012 Opremanje javnih površina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26.500,00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26.500,00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26.500,00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K100013 Uređenje platoa - stara riva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36.500,00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36.500,00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36.500,00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K100014 Uređenje starog mosta</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2.000,00</w:t>
            </w:r>
          </w:p>
        </w:tc>
        <w:tc>
          <w:tcPr>
            <w:tcW w:w="1384"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2.000,00</w:t>
            </w:r>
          </w:p>
        </w:tc>
      </w:tr>
    </w:tbl>
    <w:p w:rsidR="00E02109" w:rsidRPr="00751C3A" w:rsidRDefault="00E02109" w:rsidP="000369CB">
      <w:pPr>
        <w:pStyle w:val="Tijeloteksta"/>
        <w:spacing w:after="0"/>
        <w:jc w:val="both"/>
      </w:pPr>
      <w:r w:rsidRPr="00751C3A">
        <w:t>Cilj: valorizacija javnih prostora sukladno potrebama stanovništva; uređenje i opremanje prometnih javnih površina i dječjih igrališta</w:t>
      </w:r>
    </w:p>
    <w:p w:rsidR="00465975" w:rsidRPr="00751C3A" w:rsidRDefault="00E02109" w:rsidP="000369CB">
      <w:pPr>
        <w:pStyle w:val="Tijeloteksta"/>
        <w:spacing w:after="0"/>
        <w:jc w:val="both"/>
      </w:pPr>
      <w:r w:rsidRPr="00751C3A">
        <w:t xml:space="preserve">Pokazatelji: kvadratura uređenih površina; broj uređenih igrališta </w:t>
      </w:r>
    </w:p>
    <w:p w:rsidR="00465975" w:rsidRPr="00751C3A" w:rsidRDefault="00465975" w:rsidP="000369CB">
      <w:pPr>
        <w:pStyle w:val="Tijeloteksta"/>
        <w:spacing w:after="0"/>
        <w:jc w:val="both"/>
      </w:pPr>
    </w:p>
    <w:p w:rsidR="00465975" w:rsidRPr="00751C3A" w:rsidRDefault="00465975" w:rsidP="000369CB">
      <w:pPr>
        <w:pStyle w:val="Tijeloteksta"/>
        <w:spacing w:after="0"/>
        <w:jc w:val="both"/>
      </w:pPr>
    </w:p>
    <w:p w:rsidR="00465975" w:rsidRPr="00751C3A" w:rsidRDefault="00465975" w:rsidP="000369CB">
      <w:pPr>
        <w:pStyle w:val="Tijeloteksta"/>
        <w:spacing w:after="0"/>
        <w:jc w:val="both"/>
      </w:pPr>
    </w:p>
    <w:tbl>
      <w:tblPr>
        <w:tblW w:w="9527" w:type="dxa"/>
        <w:tblLook w:val="04A0" w:firstRow="1" w:lastRow="0" w:firstColumn="1" w:lastColumn="0" w:noHBand="0" w:noVBand="1"/>
      </w:tblPr>
      <w:tblGrid>
        <w:gridCol w:w="5387"/>
        <w:gridCol w:w="1340"/>
        <w:gridCol w:w="1340"/>
        <w:gridCol w:w="1460"/>
      </w:tblGrid>
      <w:tr w:rsidR="00E02109" w:rsidRPr="00751C3A" w:rsidTr="00465975">
        <w:trPr>
          <w:trHeight w:val="255"/>
        </w:trPr>
        <w:tc>
          <w:tcPr>
            <w:tcW w:w="5387"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387"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1005 UREĐENJE I GRADNJA JAVNIH OBJEKATA I PROSTORA GRADA</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648.800,00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648.800,00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648.800,00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K100002 Uređenje magazina soli</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14.500,00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K100003 Uređenje Kneževog dvora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K100004 Kula Skrivanat</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K100005 Uređenje Doma kulture Pag</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35.000,00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35.000,00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35.000,00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K100006 Uređenje palače Matasović</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39.000,00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39.000,00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39.000,00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K100007 Izrada suhozidne čipke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30.500,00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K100008 Izrada spomenika buri</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39.800,00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39.800,00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39.800,00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K100009 Projekt - dom umirovljenika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50.500,00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50.500,00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50.500,00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K100010 Izgradnja i uređenje tenis terena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97.000,00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97.000,00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97.000,00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K100011 Uređenje sportskog centra i sportskih igrališta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206.000,00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206.000,00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206.000,00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K100013 Uređenje platoa Prosika - Outdoor centar</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90.500,00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90.500,00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90.500,00</w:t>
            </w:r>
          </w:p>
        </w:tc>
      </w:tr>
    </w:tbl>
    <w:p w:rsidR="00465975" w:rsidRPr="00751C3A" w:rsidRDefault="00465975" w:rsidP="000369CB">
      <w:pPr>
        <w:pStyle w:val="Tijeloteksta"/>
        <w:spacing w:after="0"/>
        <w:jc w:val="both"/>
      </w:pPr>
    </w:p>
    <w:p w:rsidR="00465975" w:rsidRPr="00751C3A" w:rsidRDefault="0066177B" w:rsidP="000369CB">
      <w:pPr>
        <w:pStyle w:val="Tijeloteksta"/>
        <w:spacing w:after="0"/>
        <w:jc w:val="both"/>
      </w:pPr>
      <w:r w:rsidRPr="00751C3A">
        <w:t>Cilj: razvoj turističke infrastrukture, sadržaja i ponude, uz naglasak na razvoj posebnih oblika turizma, koji će doprinijeti razvoju prepoznatljivog, održivog cjelogodišnjeg turizma u Gradu Pagu koji ne počiva samo na "suncu i moru". Uz to, provedba mjere se odnosi i na obnovu te pronalazak nove namjene postojećoj infrastrukturi i kulturnoj baštini.</w:t>
      </w:r>
    </w:p>
    <w:p w:rsidR="00465975" w:rsidRPr="00751C3A" w:rsidRDefault="0066177B" w:rsidP="000369CB">
      <w:pPr>
        <w:pStyle w:val="Tijeloteksta"/>
        <w:spacing w:after="0"/>
        <w:jc w:val="both"/>
      </w:pPr>
      <w:r w:rsidRPr="00751C3A">
        <w:lastRenderedPageBreak/>
        <w:t>Pokazatelji: neto stopa popunjenosti kreveta i spavaćih soba u hotelima i sličnom smještaju (iskorištenost kapaciteta u danima od siječnja do prosinca), prosječna potrošnja turista po danu, u eurima</w:t>
      </w:r>
    </w:p>
    <w:p w:rsidR="00465975" w:rsidRPr="00751C3A" w:rsidRDefault="00465975" w:rsidP="000369CB">
      <w:pPr>
        <w:pStyle w:val="Tijeloteksta"/>
        <w:spacing w:after="0"/>
        <w:jc w:val="both"/>
      </w:pPr>
    </w:p>
    <w:tbl>
      <w:tblPr>
        <w:tblW w:w="9527" w:type="dxa"/>
        <w:tblLook w:val="04A0" w:firstRow="1" w:lastRow="0" w:firstColumn="1" w:lastColumn="0" w:noHBand="0" w:noVBand="1"/>
      </w:tblPr>
      <w:tblGrid>
        <w:gridCol w:w="5387"/>
        <w:gridCol w:w="1340"/>
        <w:gridCol w:w="1340"/>
        <w:gridCol w:w="1460"/>
      </w:tblGrid>
      <w:tr w:rsidR="00E02109" w:rsidRPr="00751C3A" w:rsidTr="00465975">
        <w:trPr>
          <w:trHeight w:val="255"/>
        </w:trPr>
        <w:tc>
          <w:tcPr>
            <w:tcW w:w="5387"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387"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1006 GRAĐENJE OBJEKATA I UREĐAJA KOMUNALNE INFRASTRUKTURE</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112.000,00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112.000,00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112.000,00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K100001 Izgradnja nove javne rasvjete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19.500,00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19.500,00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19.500,00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K100002 Izgradnja sustava odvodnih kanala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K100003 Uređenje groblja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79.500,00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79.500,00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79.500,00</w:t>
            </w:r>
          </w:p>
        </w:tc>
      </w:tr>
    </w:tbl>
    <w:p w:rsidR="00465975" w:rsidRPr="00751C3A" w:rsidRDefault="00E02109" w:rsidP="000369CB">
      <w:pPr>
        <w:pStyle w:val="Tijeloteksta"/>
        <w:spacing w:after="0"/>
        <w:jc w:val="both"/>
      </w:pPr>
      <w:r w:rsidRPr="00751C3A">
        <w:t>Cilj: poboljšanje života i boravka stanovništva kroz izgradnju i proširenje sustava javne rasvjete je kroz infrastrukturu za odvodnju oborina, te proširenje i izrada novih grobnih mjesta</w:t>
      </w:r>
    </w:p>
    <w:p w:rsidR="00465975" w:rsidRPr="00751C3A" w:rsidRDefault="00E02109" w:rsidP="000369CB">
      <w:pPr>
        <w:pStyle w:val="Tijeloteksta"/>
        <w:spacing w:after="0"/>
        <w:jc w:val="both"/>
      </w:pPr>
      <w:r w:rsidRPr="00751C3A">
        <w:t>Pokazatelji: broj novih rasvjetnih stupova javne rasvjete; dužina novih kanala za odvodnju</w:t>
      </w:r>
      <w:r w:rsidR="00F55E8E" w:rsidRPr="00751C3A">
        <w:t>, broj novih grobnih mjesta</w:t>
      </w:r>
    </w:p>
    <w:tbl>
      <w:tblPr>
        <w:tblW w:w="9527" w:type="dxa"/>
        <w:tblLook w:val="04A0" w:firstRow="1" w:lastRow="0" w:firstColumn="1" w:lastColumn="0" w:noHBand="0" w:noVBand="1"/>
      </w:tblPr>
      <w:tblGrid>
        <w:gridCol w:w="5387"/>
        <w:gridCol w:w="1340"/>
        <w:gridCol w:w="1340"/>
        <w:gridCol w:w="1460"/>
      </w:tblGrid>
      <w:tr w:rsidR="00E02109" w:rsidRPr="00751C3A" w:rsidTr="00465975">
        <w:trPr>
          <w:trHeight w:val="255"/>
        </w:trPr>
        <w:tc>
          <w:tcPr>
            <w:tcW w:w="5387"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E02109" w:rsidRPr="00751C3A" w:rsidRDefault="00E02109"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387"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1007 GRAĐENJE GRAĐEVINA ZA GOSPODARENJE KOMUNALNIM OTPADOM</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154.000,00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154.000,00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154.000,00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Sanacija deponije Sv. Kuzam</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60.000,00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60.000,00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60.000,00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K100001 Izgradnja plohe i sortirnice</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94.000,00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94.000,00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94.000,00</w:t>
            </w:r>
          </w:p>
        </w:tc>
      </w:tr>
    </w:tbl>
    <w:p w:rsidR="00465975" w:rsidRPr="00751C3A" w:rsidRDefault="004D2AA4" w:rsidP="000369CB">
      <w:pPr>
        <w:pStyle w:val="Tijeloteksta"/>
        <w:spacing w:after="0"/>
        <w:jc w:val="both"/>
      </w:pPr>
      <w:r w:rsidRPr="00751C3A">
        <w:t>Cilj: Poticanje građana i poduzetnika na odvajanje otpada, prelazak na kružno gospodarstvo te smanjenje proizvodnje otpada</w:t>
      </w:r>
    </w:p>
    <w:p w:rsidR="00465975" w:rsidRPr="00751C3A" w:rsidRDefault="004D2AA4" w:rsidP="000369CB">
      <w:pPr>
        <w:pStyle w:val="Tijeloteksta"/>
        <w:spacing w:after="0"/>
        <w:jc w:val="both"/>
      </w:pPr>
      <w:r w:rsidRPr="00751C3A">
        <w:t>Pokazatelji: stupanj recikliranja komunalnog otpada</w:t>
      </w:r>
    </w:p>
    <w:tbl>
      <w:tblPr>
        <w:tblW w:w="9527" w:type="dxa"/>
        <w:tblLook w:val="04A0" w:firstRow="1" w:lastRow="0" w:firstColumn="1" w:lastColumn="0" w:noHBand="0" w:noVBand="1"/>
      </w:tblPr>
      <w:tblGrid>
        <w:gridCol w:w="5387"/>
        <w:gridCol w:w="1340"/>
        <w:gridCol w:w="1340"/>
        <w:gridCol w:w="1460"/>
      </w:tblGrid>
      <w:tr w:rsidR="00F55E8E" w:rsidRPr="00751C3A" w:rsidTr="00465975">
        <w:trPr>
          <w:trHeight w:val="255"/>
        </w:trPr>
        <w:tc>
          <w:tcPr>
            <w:tcW w:w="5387" w:type="dxa"/>
            <w:tcBorders>
              <w:top w:val="nil"/>
              <w:left w:val="nil"/>
              <w:bottom w:val="nil"/>
              <w:right w:val="nil"/>
            </w:tcBorders>
            <w:shd w:val="clear" w:color="000000" w:fill="9999FF"/>
            <w:noWrap/>
            <w:vAlign w:val="bottom"/>
          </w:tcPr>
          <w:p w:rsidR="00F55E8E" w:rsidRPr="00751C3A" w:rsidRDefault="00F55E8E"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F55E8E" w:rsidRPr="00751C3A" w:rsidRDefault="00F55E8E"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F55E8E" w:rsidRPr="00751C3A" w:rsidRDefault="00F55E8E"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F55E8E" w:rsidRPr="00751C3A" w:rsidRDefault="00F55E8E"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387"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1008 NERAZVRSTANE CESTE</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63.500,00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63.500,00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63.500,00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Kapitalni projekt K100001 Izgradnja i uređenje nerazvrstanih cesta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63.500,00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63.500,00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63.500,00</w:t>
            </w:r>
          </w:p>
        </w:tc>
      </w:tr>
    </w:tbl>
    <w:p w:rsidR="00465975" w:rsidRPr="00751C3A" w:rsidRDefault="00DE021D" w:rsidP="000369CB">
      <w:pPr>
        <w:pStyle w:val="Tijeloteksta"/>
        <w:spacing w:after="0"/>
        <w:jc w:val="both"/>
      </w:pPr>
      <w:r w:rsidRPr="00751C3A">
        <w:t xml:space="preserve">Cilj: projektiranje i izgradnja novih nerazvrstanih cesta na području Grada </w:t>
      </w:r>
    </w:p>
    <w:p w:rsidR="00465975" w:rsidRPr="00751C3A" w:rsidRDefault="00DE021D" w:rsidP="000369CB">
      <w:pPr>
        <w:pStyle w:val="Tijeloteksta"/>
        <w:spacing w:after="0"/>
        <w:jc w:val="both"/>
      </w:pPr>
      <w:r w:rsidRPr="00751C3A">
        <w:t>Pokazatelji: broj projekata za nove ceste; dužina novoizgrađenih cesta</w:t>
      </w:r>
    </w:p>
    <w:tbl>
      <w:tblPr>
        <w:tblW w:w="9527" w:type="dxa"/>
        <w:tblLook w:val="04A0" w:firstRow="1" w:lastRow="0" w:firstColumn="1" w:lastColumn="0" w:noHBand="0" w:noVBand="1"/>
      </w:tblPr>
      <w:tblGrid>
        <w:gridCol w:w="5387"/>
        <w:gridCol w:w="1340"/>
        <w:gridCol w:w="1340"/>
        <w:gridCol w:w="1460"/>
      </w:tblGrid>
      <w:tr w:rsidR="00DE021D" w:rsidRPr="00751C3A" w:rsidTr="00465975">
        <w:trPr>
          <w:trHeight w:val="255"/>
        </w:trPr>
        <w:tc>
          <w:tcPr>
            <w:tcW w:w="5387"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387"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1009 ZAŠTITA OKOLIŠA</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115.900,00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115.900,00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115.900,00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Odlaganje i zbrinjavanje otpada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100.900,00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100.900,00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100.900,00</w:t>
            </w:r>
          </w:p>
        </w:tc>
      </w:tr>
      <w:tr w:rsidR="00465975" w:rsidRPr="00751C3A" w:rsidTr="00465975">
        <w:trPr>
          <w:trHeight w:val="255"/>
        </w:trPr>
        <w:tc>
          <w:tcPr>
            <w:tcW w:w="5387"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A100003 Ugradnja električnih punionica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15.000,00</w:t>
            </w:r>
          </w:p>
        </w:tc>
      </w:tr>
    </w:tbl>
    <w:p w:rsidR="00465975" w:rsidRPr="00751C3A" w:rsidRDefault="00C026AE" w:rsidP="000369CB">
      <w:pPr>
        <w:pStyle w:val="Tijeloteksta"/>
        <w:spacing w:after="0"/>
        <w:jc w:val="both"/>
      </w:pPr>
      <w:r w:rsidRPr="00751C3A">
        <w:t>Cilj: tranzicija prema energetskoj učinkovitosti, povećanje korištenja OIE i čiste energije</w:t>
      </w:r>
    </w:p>
    <w:p w:rsidR="00465975" w:rsidRPr="00751C3A" w:rsidRDefault="00C026AE" w:rsidP="000369CB">
      <w:pPr>
        <w:pStyle w:val="Tijeloteksta"/>
        <w:spacing w:after="0"/>
        <w:jc w:val="both"/>
      </w:pPr>
      <w:r w:rsidRPr="00751C3A">
        <w:t>Pokazatelji: broj javno dostupnih punionica za vozila na električni pogon</w:t>
      </w:r>
    </w:p>
    <w:p w:rsidR="00465975" w:rsidRPr="00751C3A" w:rsidRDefault="00465975" w:rsidP="000369CB">
      <w:pPr>
        <w:pStyle w:val="Tijeloteksta"/>
        <w:spacing w:after="0"/>
        <w:jc w:val="both"/>
      </w:pPr>
    </w:p>
    <w:tbl>
      <w:tblPr>
        <w:tblW w:w="9385" w:type="dxa"/>
        <w:tblLook w:val="04A0" w:firstRow="1" w:lastRow="0" w:firstColumn="1" w:lastColumn="0" w:noHBand="0" w:noVBand="1"/>
      </w:tblPr>
      <w:tblGrid>
        <w:gridCol w:w="5245"/>
        <w:gridCol w:w="1340"/>
        <w:gridCol w:w="1340"/>
        <w:gridCol w:w="1460"/>
      </w:tblGrid>
      <w:tr w:rsidR="00DE021D" w:rsidRPr="00751C3A" w:rsidTr="00465975">
        <w:trPr>
          <w:trHeight w:val="255"/>
        </w:trPr>
        <w:tc>
          <w:tcPr>
            <w:tcW w:w="5245"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rPr>
                <w:rFonts w:ascii="Arial" w:eastAsia="Times New Roman" w:hAnsi="Arial" w:cs="Arial"/>
                <w:b/>
                <w:bCs/>
                <w:color w:val="000000"/>
                <w:sz w:val="20"/>
                <w:szCs w:val="20"/>
              </w:rPr>
            </w:pPr>
          </w:p>
        </w:tc>
        <w:tc>
          <w:tcPr>
            <w:tcW w:w="1340"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245"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1010 FINANCIRANJE UDRUGA PO PROGRAMIMA JAVNIH POTREBA TE RAZVOJA CIVILNOG DRUŠTVA</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221.100,00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221.100,00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221.100,00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Javne potrebe u kulturi</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A100002 Javne potrebe u sportu</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33.000,00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A100003 Programi udruga proizašlih iz Domovinskog rata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2.500,00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A100004 Programi udruga civilnog društva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A100005 Donacije župnim uredima i samostanima</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133.000,00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133.000,00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A100007 Javne potrebe iznad standarda u osnovnom školstvu</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5.800,00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5.800,00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5.800,00</w:t>
            </w:r>
          </w:p>
        </w:tc>
      </w:tr>
      <w:tr w:rsidR="00465975" w:rsidRPr="00751C3A" w:rsidTr="00465975">
        <w:trPr>
          <w:trHeight w:val="255"/>
        </w:trPr>
        <w:tc>
          <w:tcPr>
            <w:tcW w:w="5245"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lastRenderedPageBreak/>
              <w:t>Aktivnost A100008 Javne potrebe iznad standarda u srednjem školstvu</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8.800,00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8.800,00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8.800,00</w:t>
            </w:r>
          </w:p>
        </w:tc>
      </w:tr>
    </w:tbl>
    <w:p w:rsidR="00465975" w:rsidRPr="00751C3A" w:rsidRDefault="00427CBE" w:rsidP="000369CB">
      <w:pPr>
        <w:pStyle w:val="Tijeloteksta"/>
        <w:spacing w:after="0"/>
        <w:jc w:val="both"/>
      </w:pPr>
      <w:r w:rsidRPr="00751C3A">
        <w:t>Cilj: zaštita materijalne i nematerijalne kulturno-povijesne baštine i njezinu valorizaciju i promociju kako bi bila dostupnija cjelokupnom društvu</w:t>
      </w:r>
    </w:p>
    <w:p w:rsidR="00465975" w:rsidRPr="00751C3A" w:rsidRDefault="00427CBE" w:rsidP="000369CB">
      <w:pPr>
        <w:pStyle w:val="Tijeloteksta"/>
        <w:spacing w:after="0"/>
        <w:jc w:val="both"/>
      </w:pPr>
      <w:r w:rsidRPr="00751C3A">
        <w:t>Pokazatelji: rashodi za kultu</w:t>
      </w:r>
      <w:r w:rsidR="00C026AE" w:rsidRPr="00751C3A">
        <w:t>ru JLS po stanovniku</w:t>
      </w:r>
    </w:p>
    <w:p w:rsidR="00465975" w:rsidRPr="00751C3A" w:rsidRDefault="00465975" w:rsidP="000369CB">
      <w:pPr>
        <w:pStyle w:val="Tijeloteksta"/>
        <w:spacing w:after="0"/>
        <w:jc w:val="both"/>
      </w:pPr>
    </w:p>
    <w:tbl>
      <w:tblPr>
        <w:tblW w:w="9435" w:type="dxa"/>
        <w:tblLook w:val="04A0" w:firstRow="1" w:lastRow="0" w:firstColumn="1" w:lastColumn="0" w:noHBand="0" w:noVBand="1"/>
      </w:tblPr>
      <w:tblGrid>
        <w:gridCol w:w="5529"/>
        <w:gridCol w:w="1106"/>
        <w:gridCol w:w="1340"/>
        <w:gridCol w:w="1460"/>
      </w:tblGrid>
      <w:tr w:rsidR="00DE021D" w:rsidRPr="00751C3A" w:rsidTr="00465975">
        <w:trPr>
          <w:trHeight w:val="255"/>
        </w:trPr>
        <w:tc>
          <w:tcPr>
            <w:tcW w:w="5529"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rPr>
                <w:rFonts w:ascii="Arial" w:eastAsia="Times New Roman" w:hAnsi="Arial" w:cs="Arial"/>
                <w:b/>
                <w:bCs/>
                <w:color w:val="000000"/>
                <w:sz w:val="20"/>
                <w:szCs w:val="20"/>
              </w:rPr>
            </w:pPr>
          </w:p>
        </w:tc>
        <w:tc>
          <w:tcPr>
            <w:tcW w:w="1106"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2023</w:t>
            </w:r>
          </w:p>
        </w:tc>
        <w:tc>
          <w:tcPr>
            <w:tcW w:w="1340"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2024</w:t>
            </w:r>
          </w:p>
        </w:tc>
        <w:tc>
          <w:tcPr>
            <w:tcW w:w="1460" w:type="dxa"/>
            <w:tcBorders>
              <w:top w:val="nil"/>
              <w:left w:val="nil"/>
              <w:bottom w:val="nil"/>
              <w:right w:val="nil"/>
            </w:tcBorders>
            <w:shd w:val="clear" w:color="000000" w:fill="9999FF"/>
            <w:noWrap/>
            <w:vAlign w:val="bottom"/>
          </w:tcPr>
          <w:p w:rsidR="00DE021D" w:rsidRPr="00751C3A" w:rsidRDefault="00DE021D"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2025</w:t>
            </w:r>
          </w:p>
        </w:tc>
      </w:tr>
      <w:tr w:rsidR="00465975" w:rsidRPr="00751C3A" w:rsidTr="00465975">
        <w:trPr>
          <w:trHeight w:val="255"/>
        </w:trPr>
        <w:tc>
          <w:tcPr>
            <w:tcW w:w="5529"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Program 1011 ISTRAŽIVANJE I ZAŠTITA KULTURNE BAŠTINE</w:t>
            </w:r>
          </w:p>
        </w:tc>
        <w:tc>
          <w:tcPr>
            <w:tcW w:w="1106"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17.500,00</w:t>
            </w:r>
          </w:p>
        </w:tc>
        <w:tc>
          <w:tcPr>
            <w:tcW w:w="134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17.500,00</w:t>
            </w:r>
          </w:p>
        </w:tc>
        <w:tc>
          <w:tcPr>
            <w:tcW w:w="1460" w:type="dxa"/>
            <w:tcBorders>
              <w:top w:val="nil"/>
              <w:left w:val="nil"/>
              <w:bottom w:val="nil"/>
              <w:right w:val="nil"/>
            </w:tcBorders>
            <w:shd w:val="clear" w:color="000000" w:fill="9999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17.500,00</w:t>
            </w:r>
          </w:p>
        </w:tc>
      </w:tr>
      <w:tr w:rsidR="00465975" w:rsidRPr="00751C3A" w:rsidTr="00465975">
        <w:trPr>
          <w:trHeight w:val="255"/>
        </w:trPr>
        <w:tc>
          <w:tcPr>
            <w:tcW w:w="5529"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A100001 Zaštitni znak i zaštita paške čipke</w:t>
            </w:r>
          </w:p>
        </w:tc>
        <w:tc>
          <w:tcPr>
            <w:tcW w:w="1106"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500,00</w:t>
            </w:r>
          </w:p>
        </w:tc>
      </w:tr>
      <w:tr w:rsidR="00465975" w:rsidRPr="00751C3A" w:rsidTr="00465975">
        <w:trPr>
          <w:trHeight w:val="255"/>
        </w:trPr>
        <w:tc>
          <w:tcPr>
            <w:tcW w:w="5529"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A100005 Arheološka istraživanja</w:t>
            </w:r>
          </w:p>
        </w:tc>
        <w:tc>
          <w:tcPr>
            <w:tcW w:w="1106"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4.000,00</w:t>
            </w:r>
          </w:p>
        </w:tc>
      </w:tr>
      <w:tr w:rsidR="00465975" w:rsidRPr="00751C3A" w:rsidTr="00465975">
        <w:trPr>
          <w:trHeight w:val="255"/>
        </w:trPr>
        <w:tc>
          <w:tcPr>
            <w:tcW w:w="5529"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Aktivnost A100006 Rad kapelnika Gradske glazbe Pag</w:t>
            </w:r>
          </w:p>
        </w:tc>
        <w:tc>
          <w:tcPr>
            <w:tcW w:w="1106"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34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c>
          <w:tcPr>
            <w:tcW w:w="1460" w:type="dxa"/>
            <w:tcBorders>
              <w:top w:val="nil"/>
              <w:left w:val="nil"/>
              <w:bottom w:val="nil"/>
              <w:right w:val="nil"/>
            </w:tcBorders>
            <w:shd w:val="clear" w:color="000000" w:fill="CCCCFF"/>
            <w:noWrap/>
            <w:vAlign w:val="bottom"/>
            <w:hideMark/>
          </w:tcPr>
          <w:p w:rsidR="00465975" w:rsidRPr="00751C3A" w:rsidRDefault="00465975" w:rsidP="00465975">
            <w:pPr>
              <w:spacing w:after="0" w:line="240" w:lineRule="auto"/>
              <w:jc w:val="right"/>
              <w:rPr>
                <w:rFonts w:ascii="Arial" w:eastAsia="Times New Roman" w:hAnsi="Arial" w:cs="Arial"/>
                <w:b/>
                <w:bCs/>
                <w:color w:val="000000"/>
                <w:sz w:val="20"/>
                <w:szCs w:val="20"/>
              </w:rPr>
            </w:pPr>
            <w:r w:rsidRPr="00751C3A">
              <w:rPr>
                <w:rFonts w:ascii="Arial" w:eastAsia="Times New Roman" w:hAnsi="Arial" w:cs="Arial"/>
                <w:b/>
                <w:bCs/>
                <w:color w:val="000000"/>
                <w:sz w:val="20"/>
                <w:szCs w:val="20"/>
              </w:rPr>
              <w:t>13.000,00</w:t>
            </w:r>
          </w:p>
        </w:tc>
      </w:tr>
    </w:tbl>
    <w:p w:rsidR="00DE021D" w:rsidRPr="00751C3A" w:rsidRDefault="00DE021D" w:rsidP="00DE021D">
      <w:pPr>
        <w:pStyle w:val="Tijeloteksta"/>
        <w:spacing w:after="0"/>
        <w:jc w:val="both"/>
      </w:pPr>
      <w:r w:rsidRPr="00751C3A">
        <w:t>Cilj: zaštita materijalne i nematerijalne kulturno-povijesne baštine i njezinu valorizaciju i promociju kako bi bila dostupnija cjelokupnom društvu</w:t>
      </w:r>
    </w:p>
    <w:p w:rsidR="00DE021D" w:rsidRPr="00751C3A" w:rsidRDefault="00DE021D" w:rsidP="00DE021D">
      <w:pPr>
        <w:pStyle w:val="Tijeloteksta"/>
        <w:spacing w:after="0"/>
        <w:jc w:val="both"/>
      </w:pPr>
      <w:r w:rsidRPr="00751C3A">
        <w:t>Pokazatelji: rashodi za kulturu JLS po stanovniku</w:t>
      </w:r>
    </w:p>
    <w:p w:rsidR="00465975" w:rsidRPr="00751C3A" w:rsidRDefault="00465975" w:rsidP="000369CB">
      <w:pPr>
        <w:pStyle w:val="Tijeloteksta"/>
        <w:spacing w:after="0"/>
        <w:jc w:val="both"/>
      </w:pPr>
    </w:p>
    <w:sectPr w:rsidR="00465975" w:rsidRPr="00751C3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6DE" w:rsidRDefault="007E66DE" w:rsidP="00DE021D">
      <w:pPr>
        <w:spacing w:after="0" w:line="240" w:lineRule="auto"/>
      </w:pPr>
      <w:r>
        <w:separator/>
      </w:r>
    </w:p>
  </w:endnote>
  <w:endnote w:type="continuationSeparator" w:id="0">
    <w:p w:rsidR="007E66DE" w:rsidRDefault="007E66DE" w:rsidP="00DE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915112"/>
      <w:docPartObj>
        <w:docPartGallery w:val="Page Numbers (Bottom of Page)"/>
        <w:docPartUnique/>
      </w:docPartObj>
    </w:sdtPr>
    <w:sdtEndPr/>
    <w:sdtContent>
      <w:p w:rsidR="00DE021D" w:rsidRDefault="00DE021D">
        <w:pPr>
          <w:pStyle w:val="Podnoje"/>
          <w:jc w:val="right"/>
        </w:pPr>
        <w:r>
          <w:fldChar w:fldCharType="begin"/>
        </w:r>
        <w:r>
          <w:instrText>PAGE   \* MERGEFORMAT</w:instrText>
        </w:r>
        <w:r>
          <w:fldChar w:fldCharType="separate"/>
        </w:r>
        <w:r w:rsidR="00443BD9">
          <w:rPr>
            <w:noProof/>
          </w:rPr>
          <w:t>2</w:t>
        </w:r>
        <w:r>
          <w:fldChar w:fldCharType="end"/>
        </w:r>
      </w:p>
    </w:sdtContent>
  </w:sdt>
  <w:p w:rsidR="00DE021D" w:rsidRDefault="00DE021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6DE" w:rsidRDefault="007E66DE" w:rsidP="00DE021D">
      <w:pPr>
        <w:spacing w:after="0" w:line="240" w:lineRule="auto"/>
      </w:pPr>
      <w:r>
        <w:separator/>
      </w:r>
    </w:p>
  </w:footnote>
  <w:footnote w:type="continuationSeparator" w:id="0">
    <w:p w:rsidR="007E66DE" w:rsidRDefault="007E66DE" w:rsidP="00DE0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D6"/>
    <w:rsid w:val="00001C6D"/>
    <w:rsid w:val="00005D98"/>
    <w:rsid w:val="000369CB"/>
    <w:rsid w:val="000C648C"/>
    <w:rsid w:val="00122E17"/>
    <w:rsid w:val="001245E4"/>
    <w:rsid w:val="00147308"/>
    <w:rsid w:val="00161890"/>
    <w:rsid w:val="001F7A5F"/>
    <w:rsid w:val="00201DC9"/>
    <w:rsid w:val="002A3B57"/>
    <w:rsid w:val="002D4D64"/>
    <w:rsid w:val="00301454"/>
    <w:rsid w:val="00391C43"/>
    <w:rsid w:val="003A213D"/>
    <w:rsid w:val="003B2352"/>
    <w:rsid w:val="003F318A"/>
    <w:rsid w:val="00427CBE"/>
    <w:rsid w:val="00434380"/>
    <w:rsid w:val="00443BD9"/>
    <w:rsid w:val="00465975"/>
    <w:rsid w:val="004A22D8"/>
    <w:rsid w:val="004D2AA4"/>
    <w:rsid w:val="0058629D"/>
    <w:rsid w:val="005A38AD"/>
    <w:rsid w:val="006076ED"/>
    <w:rsid w:val="006502F1"/>
    <w:rsid w:val="00650F80"/>
    <w:rsid w:val="0066177B"/>
    <w:rsid w:val="006747FD"/>
    <w:rsid w:val="00705D83"/>
    <w:rsid w:val="00751C3A"/>
    <w:rsid w:val="00791F35"/>
    <w:rsid w:val="007965D6"/>
    <w:rsid w:val="007A3479"/>
    <w:rsid w:val="007B0429"/>
    <w:rsid w:val="007C10C4"/>
    <w:rsid w:val="007E66DE"/>
    <w:rsid w:val="0089537C"/>
    <w:rsid w:val="009A134B"/>
    <w:rsid w:val="009E3B06"/>
    <w:rsid w:val="00AA5C24"/>
    <w:rsid w:val="00AC0B0F"/>
    <w:rsid w:val="00B844A4"/>
    <w:rsid w:val="00B935D6"/>
    <w:rsid w:val="00BE0085"/>
    <w:rsid w:val="00C026AE"/>
    <w:rsid w:val="00C52672"/>
    <w:rsid w:val="00CE4C5E"/>
    <w:rsid w:val="00D02DEA"/>
    <w:rsid w:val="00D3020B"/>
    <w:rsid w:val="00D62800"/>
    <w:rsid w:val="00DE021D"/>
    <w:rsid w:val="00E02109"/>
    <w:rsid w:val="00E31AEB"/>
    <w:rsid w:val="00E37032"/>
    <w:rsid w:val="00E55858"/>
    <w:rsid w:val="00F441DD"/>
    <w:rsid w:val="00F55E8E"/>
    <w:rsid w:val="00FB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A52FF-683F-4153-AEB0-DBC6E599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B935D6"/>
    <w:pPr>
      <w:spacing w:after="120" w:line="240" w:lineRule="auto"/>
    </w:pPr>
    <w:rPr>
      <w:rFonts w:eastAsia="Times New Roman"/>
      <w:lang w:eastAsia="hr-HR"/>
    </w:rPr>
  </w:style>
  <w:style w:type="character" w:customStyle="1" w:styleId="TijelotekstaChar">
    <w:name w:val="Tijelo teksta Char"/>
    <w:basedOn w:val="Zadanifontodlomka"/>
    <w:link w:val="Tijeloteksta"/>
    <w:semiHidden/>
    <w:rsid w:val="00B935D6"/>
    <w:rPr>
      <w:rFonts w:eastAsia="Times New Roman"/>
      <w:lang w:val="hr-HR" w:eastAsia="hr-HR"/>
    </w:rPr>
  </w:style>
  <w:style w:type="paragraph" w:styleId="Zaglavlje">
    <w:name w:val="header"/>
    <w:basedOn w:val="Normal"/>
    <w:link w:val="ZaglavljeChar"/>
    <w:uiPriority w:val="99"/>
    <w:unhideWhenUsed/>
    <w:rsid w:val="00DE021D"/>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DE021D"/>
    <w:rPr>
      <w:lang w:val="hr-HR"/>
    </w:rPr>
  </w:style>
  <w:style w:type="paragraph" w:styleId="Podnoje">
    <w:name w:val="footer"/>
    <w:basedOn w:val="Normal"/>
    <w:link w:val="PodnojeChar"/>
    <w:uiPriority w:val="99"/>
    <w:unhideWhenUsed/>
    <w:rsid w:val="00DE021D"/>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DE021D"/>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5066">
      <w:bodyDiv w:val="1"/>
      <w:marLeft w:val="0"/>
      <w:marRight w:val="0"/>
      <w:marTop w:val="0"/>
      <w:marBottom w:val="0"/>
      <w:divBdr>
        <w:top w:val="none" w:sz="0" w:space="0" w:color="auto"/>
        <w:left w:val="none" w:sz="0" w:space="0" w:color="auto"/>
        <w:bottom w:val="none" w:sz="0" w:space="0" w:color="auto"/>
        <w:right w:val="none" w:sz="0" w:space="0" w:color="auto"/>
      </w:divBdr>
    </w:div>
    <w:div w:id="73091924">
      <w:bodyDiv w:val="1"/>
      <w:marLeft w:val="0"/>
      <w:marRight w:val="0"/>
      <w:marTop w:val="0"/>
      <w:marBottom w:val="0"/>
      <w:divBdr>
        <w:top w:val="none" w:sz="0" w:space="0" w:color="auto"/>
        <w:left w:val="none" w:sz="0" w:space="0" w:color="auto"/>
        <w:bottom w:val="none" w:sz="0" w:space="0" w:color="auto"/>
        <w:right w:val="none" w:sz="0" w:space="0" w:color="auto"/>
      </w:divBdr>
    </w:div>
    <w:div w:id="83383714">
      <w:bodyDiv w:val="1"/>
      <w:marLeft w:val="0"/>
      <w:marRight w:val="0"/>
      <w:marTop w:val="0"/>
      <w:marBottom w:val="0"/>
      <w:divBdr>
        <w:top w:val="none" w:sz="0" w:space="0" w:color="auto"/>
        <w:left w:val="none" w:sz="0" w:space="0" w:color="auto"/>
        <w:bottom w:val="none" w:sz="0" w:space="0" w:color="auto"/>
        <w:right w:val="none" w:sz="0" w:space="0" w:color="auto"/>
      </w:divBdr>
    </w:div>
    <w:div w:id="87626274">
      <w:bodyDiv w:val="1"/>
      <w:marLeft w:val="0"/>
      <w:marRight w:val="0"/>
      <w:marTop w:val="0"/>
      <w:marBottom w:val="0"/>
      <w:divBdr>
        <w:top w:val="none" w:sz="0" w:space="0" w:color="auto"/>
        <w:left w:val="none" w:sz="0" w:space="0" w:color="auto"/>
        <w:bottom w:val="none" w:sz="0" w:space="0" w:color="auto"/>
        <w:right w:val="none" w:sz="0" w:space="0" w:color="auto"/>
      </w:divBdr>
    </w:div>
    <w:div w:id="113183015">
      <w:bodyDiv w:val="1"/>
      <w:marLeft w:val="0"/>
      <w:marRight w:val="0"/>
      <w:marTop w:val="0"/>
      <w:marBottom w:val="0"/>
      <w:divBdr>
        <w:top w:val="none" w:sz="0" w:space="0" w:color="auto"/>
        <w:left w:val="none" w:sz="0" w:space="0" w:color="auto"/>
        <w:bottom w:val="none" w:sz="0" w:space="0" w:color="auto"/>
        <w:right w:val="none" w:sz="0" w:space="0" w:color="auto"/>
      </w:divBdr>
    </w:div>
    <w:div w:id="136146193">
      <w:bodyDiv w:val="1"/>
      <w:marLeft w:val="0"/>
      <w:marRight w:val="0"/>
      <w:marTop w:val="0"/>
      <w:marBottom w:val="0"/>
      <w:divBdr>
        <w:top w:val="none" w:sz="0" w:space="0" w:color="auto"/>
        <w:left w:val="none" w:sz="0" w:space="0" w:color="auto"/>
        <w:bottom w:val="none" w:sz="0" w:space="0" w:color="auto"/>
        <w:right w:val="none" w:sz="0" w:space="0" w:color="auto"/>
      </w:divBdr>
    </w:div>
    <w:div w:id="165369500">
      <w:bodyDiv w:val="1"/>
      <w:marLeft w:val="0"/>
      <w:marRight w:val="0"/>
      <w:marTop w:val="0"/>
      <w:marBottom w:val="0"/>
      <w:divBdr>
        <w:top w:val="none" w:sz="0" w:space="0" w:color="auto"/>
        <w:left w:val="none" w:sz="0" w:space="0" w:color="auto"/>
        <w:bottom w:val="none" w:sz="0" w:space="0" w:color="auto"/>
        <w:right w:val="none" w:sz="0" w:space="0" w:color="auto"/>
      </w:divBdr>
    </w:div>
    <w:div w:id="169372876">
      <w:bodyDiv w:val="1"/>
      <w:marLeft w:val="0"/>
      <w:marRight w:val="0"/>
      <w:marTop w:val="0"/>
      <w:marBottom w:val="0"/>
      <w:divBdr>
        <w:top w:val="none" w:sz="0" w:space="0" w:color="auto"/>
        <w:left w:val="none" w:sz="0" w:space="0" w:color="auto"/>
        <w:bottom w:val="none" w:sz="0" w:space="0" w:color="auto"/>
        <w:right w:val="none" w:sz="0" w:space="0" w:color="auto"/>
      </w:divBdr>
    </w:div>
    <w:div w:id="182716532">
      <w:bodyDiv w:val="1"/>
      <w:marLeft w:val="0"/>
      <w:marRight w:val="0"/>
      <w:marTop w:val="0"/>
      <w:marBottom w:val="0"/>
      <w:divBdr>
        <w:top w:val="none" w:sz="0" w:space="0" w:color="auto"/>
        <w:left w:val="none" w:sz="0" w:space="0" w:color="auto"/>
        <w:bottom w:val="none" w:sz="0" w:space="0" w:color="auto"/>
        <w:right w:val="none" w:sz="0" w:space="0" w:color="auto"/>
      </w:divBdr>
    </w:div>
    <w:div w:id="190152167">
      <w:bodyDiv w:val="1"/>
      <w:marLeft w:val="0"/>
      <w:marRight w:val="0"/>
      <w:marTop w:val="0"/>
      <w:marBottom w:val="0"/>
      <w:divBdr>
        <w:top w:val="none" w:sz="0" w:space="0" w:color="auto"/>
        <w:left w:val="none" w:sz="0" w:space="0" w:color="auto"/>
        <w:bottom w:val="none" w:sz="0" w:space="0" w:color="auto"/>
        <w:right w:val="none" w:sz="0" w:space="0" w:color="auto"/>
      </w:divBdr>
    </w:div>
    <w:div w:id="232082540">
      <w:bodyDiv w:val="1"/>
      <w:marLeft w:val="0"/>
      <w:marRight w:val="0"/>
      <w:marTop w:val="0"/>
      <w:marBottom w:val="0"/>
      <w:divBdr>
        <w:top w:val="none" w:sz="0" w:space="0" w:color="auto"/>
        <w:left w:val="none" w:sz="0" w:space="0" w:color="auto"/>
        <w:bottom w:val="none" w:sz="0" w:space="0" w:color="auto"/>
        <w:right w:val="none" w:sz="0" w:space="0" w:color="auto"/>
      </w:divBdr>
    </w:div>
    <w:div w:id="251354824">
      <w:bodyDiv w:val="1"/>
      <w:marLeft w:val="0"/>
      <w:marRight w:val="0"/>
      <w:marTop w:val="0"/>
      <w:marBottom w:val="0"/>
      <w:divBdr>
        <w:top w:val="none" w:sz="0" w:space="0" w:color="auto"/>
        <w:left w:val="none" w:sz="0" w:space="0" w:color="auto"/>
        <w:bottom w:val="none" w:sz="0" w:space="0" w:color="auto"/>
        <w:right w:val="none" w:sz="0" w:space="0" w:color="auto"/>
      </w:divBdr>
    </w:div>
    <w:div w:id="326440358">
      <w:bodyDiv w:val="1"/>
      <w:marLeft w:val="0"/>
      <w:marRight w:val="0"/>
      <w:marTop w:val="0"/>
      <w:marBottom w:val="0"/>
      <w:divBdr>
        <w:top w:val="none" w:sz="0" w:space="0" w:color="auto"/>
        <w:left w:val="none" w:sz="0" w:space="0" w:color="auto"/>
        <w:bottom w:val="none" w:sz="0" w:space="0" w:color="auto"/>
        <w:right w:val="none" w:sz="0" w:space="0" w:color="auto"/>
      </w:divBdr>
    </w:div>
    <w:div w:id="384305807">
      <w:bodyDiv w:val="1"/>
      <w:marLeft w:val="0"/>
      <w:marRight w:val="0"/>
      <w:marTop w:val="0"/>
      <w:marBottom w:val="0"/>
      <w:divBdr>
        <w:top w:val="none" w:sz="0" w:space="0" w:color="auto"/>
        <w:left w:val="none" w:sz="0" w:space="0" w:color="auto"/>
        <w:bottom w:val="none" w:sz="0" w:space="0" w:color="auto"/>
        <w:right w:val="none" w:sz="0" w:space="0" w:color="auto"/>
      </w:divBdr>
    </w:div>
    <w:div w:id="398212837">
      <w:bodyDiv w:val="1"/>
      <w:marLeft w:val="0"/>
      <w:marRight w:val="0"/>
      <w:marTop w:val="0"/>
      <w:marBottom w:val="0"/>
      <w:divBdr>
        <w:top w:val="none" w:sz="0" w:space="0" w:color="auto"/>
        <w:left w:val="none" w:sz="0" w:space="0" w:color="auto"/>
        <w:bottom w:val="none" w:sz="0" w:space="0" w:color="auto"/>
        <w:right w:val="none" w:sz="0" w:space="0" w:color="auto"/>
      </w:divBdr>
    </w:div>
    <w:div w:id="558638105">
      <w:bodyDiv w:val="1"/>
      <w:marLeft w:val="0"/>
      <w:marRight w:val="0"/>
      <w:marTop w:val="0"/>
      <w:marBottom w:val="0"/>
      <w:divBdr>
        <w:top w:val="none" w:sz="0" w:space="0" w:color="auto"/>
        <w:left w:val="none" w:sz="0" w:space="0" w:color="auto"/>
        <w:bottom w:val="none" w:sz="0" w:space="0" w:color="auto"/>
        <w:right w:val="none" w:sz="0" w:space="0" w:color="auto"/>
      </w:divBdr>
    </w:div>
    <w:div w:id="611132837">
      <w:bodyDiv w:val="1"/>
      <w:marLeft w:val="0"/>
      <w:marRight w:val="0"/>
      <w:marTop w:val="0"/>
      <w:marBottom w:val="0"/>
      <w:divBdr>
        <w:top w:val="none" w:sz="0" w:space="0" w:color="auto"/>
        <w:left w:val="none" w:sz="0" w:space="0" w:color="auto"/>
        <w:bottom w:val="none" w:sz="0" w:space="0" w:color="auto"/>
        <w:right w:val="none" w:sz="0" w:space="0" w:color="auto"/>
      </w:divBdr>
    </w:div>
    <w:div w:id="714088174">
      <w:bodyDiv w:val="1"/>
      <w:marLeft w:val="0"/>
      <w:marRight w:val="0"/>
      <w:marTop w:val="0"/>
      <w:marBottom w:val="0"/>
      <w:divBdr>
        <w:top w:val="none" w:sz="0" w:space="0" w:color="auto"/>
        <w:left w:val="none" w:sz="0" w:space="0" w:color="auto"/>
        <w:bottom w:val="none" w:sz="0" w:space="0" w:color="auto"/>
        <w:right w:val="none" w:sz="0" w:space="0" w:color="auto"/>
      </w:divBdr>
    </w:div>
    <w:div w:id="734815988">
      <w:bodyDiv w:val="1"/>
      <w:marLeft w:val="0"/>
      <w:marRight w:val="0"/>
      <w:marTop w:val="0"/>
      <w:marBottom w:val="0"/>
      <w:divBdr>
        <w:top w:val="none" w:sz="0" w:space="0" w:color="auto"/>
        <w:left w:val="none" w:sz="0" w:space="0" w:color="auto"/>
        <w:bottom w:val="none" w:sz="0" w:space="0" w:color="auto"/>
        <w:right w:val="none" w:sz="0" w:space="0" w:color="auto"/>
      </w:divBdr>
    </w:div>
    <w:div w:id="784082860">
      <w:bodyDiv w:val="1"/>
      <w:marLeft w:val="0"/>
      <w:marRight w:val="0"/>
      <w:marTop w:val="0"/>
      <w:marBottom w:val="0"/>
      <w:divBdr>
        <w:top w:val="none" w:sz="0" w:space="0" w:color="auto"/>
        <w:left w:val="none" w:sz="0" w:space="0" w:color="auto"/>
        <w:bottom w:val="none" w:sz="0" w:space="0" w:color="auto"/>
        <w:right w:val="none" w:sz="0" w:space="0" w:color="auto"/>
      </w:divBdr>
    </w:div>
    <w:div w:id="790634240">
      <w:bodyDiv w:val="1"/>
      <w:marLeft w:val="0"/>
      <w:marRight w:val="0"/>
      <w:marTop w:val="0"/>
      <w:marBottom w:val="0"/>
      <w:divBdr>
        <w:top w:val="none" w:sz="0" w:space="0" w:color="auto"/>
        <w:left w:val="none" w:sz="0" w:space="0" w:color="auto"/>
        <w:bottom w:val="none" w:sz="0" w:space="0" w:color="auto"/>
        <w:right w:val="none" w:sz="0" w:space="0" w:color="auto"/>
      </w:divBdr>
    </w:div>
    <w:div w:id="794714482">
      <w:bodyDiv w:val="1"/>
      <w:marLeft w:val="0"/>
      <w:marRight w:val="0"/>
      <w:marTop w:val="0"/>
      <w:marBottom w:val="0"/>
      <w:divBdr>
        <w:top w:val="none" w:sz="0" w:space="0" w:color="auto"/>
        <w:left w:val="none" w:sz="0" w:space="0" w:color="auto"/>
        <w:bottom w:val="none" w:sz="0" w:space="0" w:color="auto"/>
        <w:right w:val="none" w:sz="0" w:space="0" w:color="auto"/>
      </w:divBdr>
    </w:div>
    <w:div w:id="868183487">
      <w:bodyDiv w:val="1"/>
      <w:marLeft w:val="0"/>
      <w:marRight w:val="0"/>
      <w:marTop w:val="0"/>
      <w:marBottom w:val="0"/>
      <w:divBdr>
        <w:top w:val="none" w:sz="0" w:space="0" w:color="auto"/>
        <w:left w:val="none" w:sz="0" w:space="0" w:color="auto"/>
        <w:bottom w:val="none" w:sz="0" w:space="0" w:color="auto"/>
        <w:right w:val="none" w:sz="0" w:space="0" w:color="auto"/>
      </w:divBdr>
    </w:div>
    <w:div w:id="873539437">
      <w:bodyDiv w:val="1"/>
      <w:marLeft w:val="0"/>
      <w:marRight w:val="0"/>
      <w:marTop w:val="0"/>
      <w:marBottom w:val="0"/>
      <w:divBdr>
        <w:top w:val="none" w:sz="0" w:space="0" w:color="auto"/>
        <w:left w:val="none" w:sz="0" w:space="0" w:color="auto"/>
        <w:bottom w:val="none" w:sz="0" w:space="0" w:color="auto"/>
        <w:right w:val="none" w:sz="0" w:space="0" w:color="auto"/>
      </w:divBdr>
    </w:div>
    <w:div w:id="893541750">
      <w:bodyDiv w:val="1"/>
      <w:marLeft w:val="0"/>
      <w:marRight w:val="0"/>
      <w:marTop w:val="0"/>
      <w:marBottom w:val="0"/>
      <w:divBdr>
        <w:top w:val="none" w:sz="0" w:space="0" w:color="auto"/>
        <w:left w:val="none" w:sz="0" w:space="0" w:color="auto"/>
        <w:bottom w:val="none" w:sz="0" w:space="0" w:color="auto"/>
        <w:right w:val="none" w:sz="0" w:space="0" w:color="auto"/>
      </w:divBdr>
    </w:div>
    <w:div w:id="988361390">
      <w:bodyDiv w:val="1"/>
      <w:marLeft w:val="0"/>
      <w:marRight w:val="0"/>
      <w:marTop w:val="0"/>
      <w:marBottom w:val="0"/>
      <w:divBdr>
        <w:top w:val="none" w:sz="0" w:space="0" w:color="auto"/>
        <w:left w:val="none" w:sz="0" w:space="0" w:color="auto"/>
        <w:bottom w:val="none" w:sz="0" w:space="0" w:color="auto"/>
        <w:right w:val="none" w:sz="0" w:space="0" w:color="auto"/>
      </w:divBdr>
    </w:div>
    <w:div w:id="1031688392">
      <w:bodyDiv w:val="1"/>
      <w:marLeft w:val="0"/>
      <w:marRight w:val="0"/>
      <w:marTop w:val="0"/>
      <w:marBottom w:val="0"/>
      <w:divBdr>
        <w:top w:val="none" w:sz="0" w:space="0" w:color="auto"/>
        <w:left w:val="none" w:sz="0" w:space="0" w:color="auto"/>
        <w:bottom w:val="none" w:sz="0" w:space="0" w:color="auto"/>
        <w:right w:val="none" w:sz="0" w:space="0" w:color="auto"/>
      </w:divBdr>
    </w:div>
    <w:div w:id="1033308105">
      <w:bodyDiv w:val="1"/>
      <w:marLeft w:val="0"/>
      <w:marRight w:val="0"/>
      <w:marTop w:val="0"/>
      <w:marBottom w:val="0"/>
      <w:divBdr>
        <w:top w:val="none" w:sz="0" w:space="0" w:color="auto"/>
        <w:left w:val="none" w:sz="0" w:space="0" w:color="auto"/>
        <w:bottom w:val="none" w:sz="0" w:space="0" w:color="auto"/>
        <w:right w:val="none" w:sz="0" w:space="0" w:color="auto"/>
      </w:divBdr>
    </w:div>
    <w:div w:id="1079013383">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73715772">
      <w:bodyDiv w:val="1"/>
      <w:marLeft w:val="0"/>
      <w:marRight w:val="0"/>
      <w:marTop w:val="0"/>
      <w:marBottom w:val="0"/>
      <w:divBdr>
        <w:top w:val="none" w:sz="0" w:space="0" w:color="auto"/>
        <w:left w:val="none" w:sz="0" w:space="0" w:color="auto"/>
        <w:bottom w:val="none" w:sz="0" w:space="0" w:color="auto"/>
        <w:right w:val="none" w:sz="0" w:space="0" w:color="auto"/>
      </w:divBdr>
    </w:div>
    <w:div w:id="1213999310">
      <w:bodyDiv w:val="1"/>
      <w:marLeft w:val="0"/>
      <w:marRight w:val="0"/>
      <w:marTop w:val="0"/>
      <w:marBottom w:val="0"/>
      <w:divBdr>
        <w:top w:val="none" w:sz="0" w:space="0" w:color="auto"/>
        <w:left w:val="none" w:sz="0" w:space="0" w:color="auto"/>
        <w:bottom w:val="none" w:sz="0" w:space="0" w:color="auto"/>
        <w:right w:val="none" w:sz="0" w:space="0" w:color="auto"/>
      </w:divBdr>
    </w:div>
    <w:div w:id="1291281782">
      <w:bodyDiv w:val="1"/>
      <w:marLeft w:val="0"/>
      <w:marRight w:val="0"/>
      <w:marTop w:val="0"/>
      <w:marBottom w:val="0"/>
      <w:divBdr>
        <w:top w:val="none" w:sz="0" w:space="0" w:color="auto"/>
        <w:left w:val="none" w:sz="0" w:space="0" w:color="auto"/>
        <w:bottom w:val="none" w:sz="0" w:space="0" w:color="auto"/>
        <w:right w:val="none" w:sz="0" w:space="0" w:color="auto"/>
      </w:divBdr>
    </w:div>
    <w:div w:id="1453095335">
      <w:bodyDiv w:val="1"/>
      <w:marLeft w:val="0"/>
      <w:marRight w:val="0"/>
      <w:marTop w:val="0"/>
      <w:marBottom w:val="0"/>
      <w:divBdr>
        <w:top w:val="none" w:sz="0" w:space="0" w:color="auto"/>
        <w:left w:val="none" w:sz="0" w:space="0" w:color="auto"/>
        <w:bottom w:val="none" w:sz="0" w:space="0" w:color="auto"/>
        <w:right w:val="none" w:sz="0" w:space="0" w:color="auto"/>
      </w:divBdr>
    </w:div>
    <w:div w:id="1470781006">
      <w:bodyDiv w:val="1"/>
      <w:marLeft w:val="0"/>
      <w:marRight w:val="0"/>
      <w:marTop w:val="0"/>
      <w:marBottom w:val="0"/>
      <w:divBdr>
        <w:top w:val="none" w:sz="0" w:space="0" w:color="auto"/>
        <w:left w:val="none" w:sz="0" w:space="0" w:color="auto"/>
        <w:bottom w:val="none" w:sz="0" w:space="0" w:color="auto"/>
        <w:right w:val="none" w:sz="0" w:space="0" w:color="auto"/>
      </w:divBdr>
    </w:div>
    <w:div w:id="1652714476">
      <w:bodyDiv w:val="1"/>
      <w:marLeft w:val="0"/>
      <w:marRight w:val="0"/>
      <w:marTop w:val="0"/>
      <w:marBottom w:val="0"/>
      <w:divBdr>
        <w:top w:val="none" w:sz="0" w:space="0" w:color="auto"/>
        <w:left w:val="none" w:sz="0" w:space="0" w:color="auto"/>
        <w:bottom w:val="none" w:sz="0" w:space="0" w:color="auto"/>
        <w:right w:val="none" w:sz="0" w:space="0" w:color="auto"/>
      </w:divBdr>
    </w:div>
    <w:div w:id="1706056443">
      <w:bodyDiv w:val="1"/>
      <w:marLeft w:val="0"/>
      <w:marRight w:val="0"/>
      <w:marTop w:val="0"/>
      <w:marBottom w:val="0"/>
      <w:divBdr>
        <w:top w:val="none" w:sz="0" w:space="0" w:color="auto"/>
        <w:left w:val="none" w:sz="0" w:space="0" w:color="auto"/>
        <w:bottom w:val="none" w:sz="0" w:space="0" w:color="auto"/>
        <w:right w:val="none" w:sz="0" w:space="0" w:color="auto"/>
      </w:divBdr>
    </w:div>
    <w:div w:id="1775125125">
      <w:bodyDiv w:val="1"/>
      <w:marLeft w:val="0"/>
      <w:marRight w:val="0"/>
      <w:marTop w:val="0"/>
      <w:marBottom w:val="0"/>
      <w:divBdr>
        <w:top w:val="none" w:sz="0" w:space="0" w:color="auto"/>
        <w:left w:val="none" w:sz="0" w:space="0" w:color="auto"/>
        <w:bottom w:val="none" w:sz="0" w:space="0" w:color="auto"/>
        <w:right w:val="none" w:sz="0" w:space="0" w:color="auto"/>
      </w:divBdr>
    </w:div>
    <w:div w:id="1781294206">
      <w:bodyDiv w:val="1"/>
      <w:marLeft w:val="0"/>
      <w:marRight w:val="0"/>
      <w:marTop w:val="0"/>
      <w:marBottom w:val="0"/>
      <w:divBdr>
        <w:top w:val="none" w:sz="0" w:space="0" w:color="auto"/>
        <w:left w:val="none" w:sz="0" w:space="0" w:color="auto"/>
        <w:bottom w:val="none" w:sz="0" w:space="0" w:color="auto"/>
        <w:right w:val="none" w:sz="0" w:space="0" w:color="auto"/>
      </w:divBdr>
    </w:div>
    <w:div w:id="1782647669">
      <w:bodyDiv w:val="1"/>
      <w:marLeft w:val="0"/>
      <w:marRight w:val="0"/>
      <w:marTop w:val="0"/>
      <w:marBottom w:val="0"/>
      <w:divBdr>
        <w:top w:val="none" w:sz="0" w:space="0" w:color="auto"/>
        <w:left w:val="none" w:sz="0" w:space="0" w:color="auto"/>
        <w:bottom w:val="none" w:sz="0" w:space="0" w:color="auto"/>
        <w:right w:val="none" w:sz="0" w:space="0" w:color="auto"/>
      </w:divBdr>
    </w:div>
    <w:div w:id="1826235860">
      <w:bodyDiv w:val="1"/>
      <w:marLeft w:val="0"/>
      <w:marRight w:val="0"/>
      <w:marTop w:val="0"/>
      <w:marBottom w:val="0"/>
      <w:divBdr>
        <w:top w:val="none" w:sz="0" w:space="0" w:color="auto"/>
        <w:left w:val="none" w:sz="0" w:space="0" w:color="auto"/>
        <w:bottom w:val="none" w:sz="0" w:space="0" w:color="auto"/>
        <w:right w:val="none" w:sz="0" w:space="0" w:color="auto"/>
      </w:divBdr>
    </w:div>
    <w:div w:id="1894388030">
      <w:bodyDiv w:val="1"/>
      <w:marLeft w:val="0"/>
      <w:marRight w:val="0"/>
      <w:marTop w:val="0"/>
      <w:marBottom w:val="0"/>
      <w:divBdr>
        <w:top w:val="none" w:sz="0" w:space="0" w:color="auto"/>
        <w:left w:val="none" w:sz="0" w:space="0" w:color="auto"/>
        <w:bottom w:val="none" w:sz="0" w:space="0" w:color="auto"/>
        <w:right w:val="none" w:sz="0" w:space="0" w:color="auto"/>
      </w:divBdr>
    </w:div>
    <w:div w:id="1924026051">
      <w:bodyDiv w:val="1"/>
      <w:marLeft w:val="0"/>
      <w:marRight w:val="0"/>
      <w:marTop w:val="0"/>
      <w:marBottom w:val="0"/>
      <w:divBdr>
        <w:top w:val="none" w:sz="0" w:space="0" w:color="auto"/>
        <w:left w:val="none" w:sz="0" w:space="0" w:color="auto"/>
        <w:bottom w:val="none" w:sz="0" w:space="0" w:color="auto"/>
        <w:right w:val="none" w:sz="0" w:space="0" w:color="auto"/>
      </w:divBdr>
    </w:div>
    <w:div w:id="2082095312">
      <w:bodyDiv w:val="1"/>
      <w:marLeft w:val="0"/>
      <w:marRight w:val="0"/>
      <w:marTop w:val="0"/>
      <w:marBottom w:val="0"/>
      <w:divBdr>
        <w:top w:val="none" w:sz="0" w:space="0" w:color="auto"/>
        <w:left w:val="none" w:sz="0" w:space="0" w:color="auto"/>
        <w:bottom w:val="none" w:sz="0" w:space="0" w:color="auto"/>
        <w:right w:val="none" w:sz="0" w:space="0" w:color="auto"/>
      </w:divBdr>
    </w:div>
    <w:div w:id="20986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A06EC-F950-4F60-B9E3-7F3EEDC2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6295</Words>
  <Characters>35887</Characters>
  <Application>Microsoft Office Word</Application>
  <DocSecurity>0</DocSecurity>
  <Lines>299</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Šuljić</dc:creator>
  <cp:keywords/>
  <dc:description/>
  <cp:lastModifiedBy>Diogen Šuljić</cp:lastModifiedBy>
  <cp:revision>2</cp:revision>
  <dcterms:created xsi:type="dcterms:W3CDTF">2022-12-28T15:12:00Z</dcterms:created>
  <dcterms:modified xsi:type="dcterms:W3CDTF">2022-12-28T15:12:00Z</dcterms:modified>
</cp:coreProperties>
</file>